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40F2" w14:textId="77777777" w:rsidR="000D1378" w:rsidRDefault="00211C7E">
      <w:pPr>
        <w:pStyle w:val="ASNRTITRE0"/>
        <w:rPr>
          <w:vanish/>
          <w:specVanish/>
        </w:rPr>
      </w:pPr>
      <w:r>
        <w:rPr>
          <w:lang w:bidi="en-GB"/>
        </w:rPr>
        <w:t>APPLICATION FOR AUTHORISATION</w:t>
      </w:r>
    </w:p>
    <w:p w14:paraId="365D8A1D" w14:textId="77777777" w:rsidR="000D1378" w:rsidRDefault="00211C7E">
      <w:pPr>
        <w:pStyle w:val="ASNRTITRE0SUITE"/>
      </w:pPr>
      <w:r>
        <w:rPr>
          <w:lang w:bidi="en-GB"/>
        </w:rPr>
        <w:t xml:space="preserve"> TO TRANSPORT BY ROAD RADIOACTIVE SOURCES OR BATCHES OF SOURCES IN CATEGORY A, B OR C ON BEHALF OF THIRD PARTIES</w:t>
      </w:r>
    </w:p>
    <w:p w14:paraId="3D883A4D" w14:textId="77777777" w:rsidR="000D1378" w:rsidRDefault="000D1378"/>
    <w:p w14:paraId="2E31658E" w14:textId="77777777" w:rsidR="000D1378" w:rsidRDefault="000D1378"/>
    <w:p w14:paraId="3811BA4D" w14:textId="77777777" w:rsidR="000D1378" w:rsidRDefault="000D1378">
      <w:pPr>
        <w:sectPr w:rsidR="000D1378">
          <w:headerReference w:type="default" r:id="rId8"/>
          <w:footerReference w:type="default" r:id="rId9"/>
          <w:headerReference w:type="first" r:id="rId10"/>
          <w:footerReference w:type="first" r:id="rId11"/>
          <w:type w:val="continuous"/>
          <w:pgSz w:w="11906" w:h="16838" w:code="9"/>
          <w:pgMar w:top="1418" w:right="992" w:bottom="1134" w:left="992" w:header="454" w:footer="454" w:gutter="0"/>
          <w:cols w:space="708"/>
          <w:formProt w:val="0"/>
          <w:titlePg/>
          <w:docGrid w:linePitch="360"/>
        </w:sectPr>
      </w:pPr>
    </w:p>
    <w:p w14:paraId="1B24DAEA" w14:textId="77777777" w:rsidR="000D1378" w:rsidRDefault="00211C7E">
      <w:pPr>
        <w:pStyle w:val="ASNRIntroduction"/>
      </w:pPr>
      <w:r>
        <w:rPr>
          <w:lang w:bidi="en-GB"/>
        </w:rPr>
        <w:t xml:space="preserve">This form concerns applications for initial authorisation or for the amendment or renewal of an authorisation as provided for by Article </w:t>
      </w:r>
      <w:hyperlink r:id="rId12" w:history="1">
        <w:r>
          <w:rPr>
            <w:rStyle w:val="Lienhypertexte"/>
            <w:lang w:bidi="en-GB"/>
          </w:rPr>
          <w:t>R. 1333-146</w:t>
        </w:r>
      </w:hyperlink>
      <w:r>
        <w:rPr>
          <w:lang w:bidi="en-GB"/>
        </w:rPr>
        <w:t xml:space="preserve"> of the French Public Health Code for the transport, on public roads, on behalf of third parties, of sealed radioactive sources or devices containing them, where this nuclear activity involves at least one source or batch of sources in category A, B or C, regardless of whether or not </w:t>
      </w:r>
      <w:r>
        <w:rPr>
          <w:lang w:bidi="en-GB"/>
        </w:rPr>
        <w:t>sources or batches of sources in category D are present.</w:t>
      </w:r>
    </w:p>
    <w:p w14:paraId="6FEF0CA9" w14:textId="5ADBFD20" w:rsidR="000D1378" w:rsidRDefault="00211C7E">
      <w:pPr>
        <w:pStyle w:val="ASNRIntroduction"/>
      </w:pPr>
      <w:r>
        <w:rPr>
          <w:lang w:bidi="en-GB"/>
        </w:rPr>
        <w:t>It incorporates the elements contained in annexes 1A and 1B to</w:t>
      </w:r>
      <w:r w:rsidR="0006176C">
        <w:rPr>
          <w:lang w:bidi="en-GB"/>
        </w:rPr>
        <w:t xml:space="preserve"> the French Authority for Nuclear Safety and Radiation Protection (ASNR)</w:t>
      </w:r>
      <w:r>
        <w:rPr>
          <w:lang w:bidi="en-GB"/>
        </w:rPr>
        <w:t xml:space="preserve"> </w:t>
      </w:r>
      <w:r w:rsidR="0006176C">
        <w:rPr>
          <w:lang w:bidi="en-GB"/>
        </w:rPr>
        <w:t xml:space="preserve">Resolution </w:t>
      </w:r>
      <w:hyperlink r:id="rId13" w:history="1">
        <w:r>
          <w:rPr>
            <w:rStyle w:val="Lienhypertexte"/>
            <w:lang w:bidi="en-GB"/>
          </w:rPr>
          <w:t>2025-DC-011</w:t>
        </w:r>
      </w:hyperlink>
      <w:r>
        <w:rPr>
          <w:lang w:bidi="en-GB"/>
        </w:rPr>
        <w:t xml:space="preserve"> of </w:t>
      </w:r>
      <w:proofErr w:type="spellStart"/>
      <w:r>
        <w:rPr>
          <w:lang w:bidi="en-GB"/>
        </w:rPr>
        <w:t>of</w:t>
      </w:r>
      <w:proofErr w:type="spellEnd"/>
      <w:r>
        <w:rPr>
          <w:lang w:bidi="en-GB"/>
        </w:rPr>
        <w:t xml:space="preserve"> 28</w:t>
      </w:r>
      <w:r w:rsidR="0006176C" w:rsidRPr="0006176C">
        <w:rPr>
          <w:vertAlign w:val="superscript"/>
          <w:lang w:bidi="en-GB"/>
        </w:rPr>
        <w:t>th</w:t>
      </w:r>
      <w:r>
        <w:rPr>
          <w:lang w:bidi="en-GB"/>
        </w:rPr>
        <w:t xml:space="preserve"> March 2025 relating to authorisation and declaration systems for the transport of radioactive substances on national territory. </w:t>
      </w:r>
    </w:p>
    <w:p w14:paraId="40C59E70" w14:textId="77777777" w:rsidR="000D1378" w:rsidRDefault="000D1378"/>
    <w:p w14:paraId="785C1004" w14:textId="77777777" w:rsidR="000D1378" w:rsidRDefault="000D1378">
      <w:pPr>
        <w:sectPr w:rsidR="000D1378">
          <w:type w:val="continuous"/>
          <w:pgSz w:w="11906" w:h="16838" w:code="9"/>
          <w:pgMar w:top="1418" w:right="992" w:bottom="1134" w:left="992" w:header="454" w:footer="454" w:gutter="0"/>
          <w:cols w:num="2" w:space="284"/>
          <w:formProt w:val="0"/>
          <w:docGrid w:linePitch="360"/>
          <w15:footnoteColumns w:val="1"/>
        </w:sectPr>
      </w:pPr>
    </w:p>
    <w:p w14:paraId="7EDF67C7" w14:textId="77777777" w:rsidR="000D1378" w:rsidRDefault="00211C7E">
      <w:pPr>
        <w:pStyle w:val="ASNRSereporter"/>
        <w:spacing w:before="120"/>
        <w:ind w:left="284"/>
        <w:contextualSpacing w:val="0"/>
      </w:pPr>
      <w:r>
        <w:rPr>
          <w:lang w:bidi="en-GB"/>
        </w:rPr>
        <w:t>In the sections that follow on this form, "carriage" means the transport of a source or batch of sources in category A, B or C other than nuclear materials, on public roads, on behalf of a third party.</w:t>
      </w:r>
    </w:p>
    <w:p w14:paraId="5B9D4716" w14:textId="77777777" w:rsidR="000D1378" w:rsidRDefault="00211C7E">
      <w:pPr>
        <w:spacing w:before="120"/>
        <w:ind w:left="227"/>
        <w:rPr>
          <w:bCs/>
        </w:rPr>
      </w:pPr>
      <w:r>
        <w:rPr>
          <w:rFonts w:ascii="Segoe UI Symbol" w:eastAsia="Segoe UI Symbol" w:hAnsi="Segoe UI Symbol" w:cs="Segoe UI Symbol"/>
          <w:color w:val="FF735F" w:themeColor="accent4"/>
          <w:sz w:val="20"/>
          <w:szCs w:val="20"/>
          <w:lang w:bidi="en-GB"/>
        </w:rPr>
        <w:t>⚠</w:t>
      </w:r>
      <w:r>
        <w:rPr>
          <w:lang w:bidi="en-GB"/>
        </w:rPr>
        <w:t xml:space="preserve"> Information likely to facilitate the commission of a malicious act must be sent in a separate, specially identified envelope (i.e. inside two sealed envelopes with the outer envelope containing a sealed inner envelope, which, in turn, contains a note informing the recipient of the sensitive nature of the information, for the attention of the competent assessment entity), pursuant to article R. 1333-130 of the French Public Health Code. Any electronic communication must also be sent under conditions designed to protect the sensitive information and to ensure that it can only be read by the recipient. Internet-based file transfer solutions do not generally provide sufficient guarantees. Therefore, sending information via a messaging system (email with encrypted attachments) is preferable.</w:t>
      </w:r>
    </w:p>
    <w:p w14:paraId="3BBCF255" w14:textId="77777777" w:rsidR="000D1378" w:rsidRDefault="00211C7E">
      <w:pPr>
        <w:pStyle w:val="ASNRSereporter"/>
        <w:spacing w:before="120"/>
        <w:ind w:left="284"/>
        <w:contextualSpacing w:val="0"/>
      </w:pPr>
      <w:r>
        <w:rPr>
          <w:lang w:bidi="en-GB"/>
        </w:rPr>
        <w:t xml:space="preserve">The French National Information Systems Security Agency (ANSSI) maintains an up-to-date list of file encryption products that it has approved </w:t>
      </w:r>
      <w:hyperlink r:id="rId14" w:history="1">
        <w:r>
          <w:rPr>
            <w:rStyle w:val="Lienhypertexte"/>
            <w:lang w:bidi="en-GB"/>
          </w:rPr>
          <w:t>(https://cyber.gouv.fr/decouvrir-les-solutions-qualifiees)</w:t>
        </w:r>
      </w:hyperlink>
      <w:r>
        <w:rPr>
          <w:lang w:bidi="en-GB"/>
        </w:rPr>
        <w:t>. Before sending any documents, a telephone conversation must take place between the person submitting the file and their contact at the ASNR, to ensure that the documents can be decrypted by the ASNR.</w:t>
      </w:r>
    </w:p>
    <w:p w14:paraId="5AA96A77" w14:textId="77777777" w:rsidR="000D1378" w:rsidRDefault="00211C7E">
      <w:pPr>
        <w:pStyle w:val="ASNRSereporter"/>
        <w:spacing w:before="120"/>
        <w:ind w:left="284"/>
        <w:contextualSpacing w:val="0"/>
      </w:pPr>
      <w:r>
        <w:rPr>
          <w:lang w:bidi="en-GB"/>
        </w:rPr>
        <w:t xml:space="preserve">In the remainder of the form, the reference "R. 1333-NNN" indicates article R. 1333-NNN of the French Public Health Code, and the reference "art. N" indicates Article N of the amended </w:t>
      </w:r>
      <w:hyperlink r:id="rId15" w:history="1">
        <w:r>
          <w:rPr>
            <w:rStyle w:val="Lienhypertexte"/>
            <w:lang w:bidi="en-GB"/>
          </w:rPr>
          <w:t>Order of 29 November 2019</w:t>
        </w:r>
      </w:hyperlink>
      <w:r>
        <w:rPr>
          <w:lang w:bidi="en-GB"/>
        </w:rPr>
        <w:t xml:space="preserve"> on the protection of ionising radiation sources and batches of radioactive sources in categories A, B, C and D against malicious acts.</w:t>
      </w:r>
    </w:p>
    <w:p w14:paraId="30662AED" w14:textId="77777777" w:rsidR="000D1378" w:rsidRDefault="00211C7E">
      <w:pPr>
        <w:pStyle w:val="ASNRSereporter"/>
        <w:spacing w:before="120"/>
        <w:ind w:left="284"/>
        <w:contextualSpacing w:val="0"/>
      </w:pPr>
      <w:r>
        <w:rPr>
          <w:lang w:bidi="en-GB"/>
        </w:rPr>
        <w:t>Some of the numbering on the form is not consecutive. This is deliberate, in order to remain parallel with the numbering used on the AUTO/MALV/PEREN form, which deals in particular with own-account transport of sources or batches of sources in category A, B or C.</w:t>
      </w:r>
    </w:p>
    <w:p w14:paraId="5A899BD0" w14:textId="77777777" w:rsidR="000D1378" w:rsidRDefault="00211C7E">
      <w:pPr>
        <w:pStyle w:val="ASNRTITRE1"/>
        <w:spacing w:before="480"/>
      </w:pPr>
      <w:r>
        <w:rPr>
          <w:lang w:bidi="en-GB"/>
        </w:rPr>
        <w:t>APPLICANT</w:t>
      </w:r>
    </w:p>
    <w:p w14:paraId="6C2B72F8" w14:textId="77777777" w:rsidR="000D1378" w:rsidRDefault="00211C7E">
      <w:pPr>
        <w:pStyle w:val="ASNRExergue1"/>
        <w:spacing w:after="120"/>
      </w:pPr>
      <w:r>
        <w:rPr>
          <w:lang w:bidi="en-GB"/>
        </w:rPr>
        <w:t>The applicant, a legal entity responsible for the nuclear activity, is seeking authorisation to carry out carriage operations:</w:t>
      </w:r>
    </w:p>
    <w:p w14:paraId="59E69053" w14:textId="77777777" w:rsidR="000D1378" w:rsidRDefault="00211C7E">
      <w:pPr>
        <w:tabs>
          <w:tab w:val="right" w:pos="9840"/>
        </w:tabs>
        <w:spacing w:before="120"/>
      </w:pPr>
      <w:r>
        <w:rPr>
          <w:lang w:bidi="en-GB"/>
        </w:rPr>
        <w:t>Name or company name of the establishment</w:t>
      </w:r>
      <w:r>
        <w:rPr>
          <w:vertAlign w:val="superscript"/>
          <w:lang w:bidi="en-GB"/>
        </w:rPr>
        <w:footnoteReference w:id="1"/>
      </w:r>
      <w:r>
        <w:rPr>
          <w:lang w:bidi="en-GB"/>
        </w:rPr>
        <w:t xml:space="preserve">  </w:t>
      </w:r>
      <w:permStart w:id="103089221"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03089221"/>
    </w:p>
    <w:p w14:paraId="7D3BA048" w14:textId="77777777" w:rsidR="000D1378" w:rsidRDefault="00211C7E">
      <w:pPr>
        <w:tabs>
          <w:tab w:val="right" w:pos="9840"/>
        </w:tabs>
        <w:spacing w:before="120"/>
      </w:pPr>
      <w:r>
        <w:rPr>
          <w:lang w:bidi="en-GB"/>
        </w:rPr>
        <w:t xml:space="preserve">Other designation (trading name, etc.)  </w:t>
      </w:r>
      <w:permStart w:id="1754424118"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754424118"/>
    </w:p>
    <w:p w14:paraId="7380EC14" w14:textId="77777777" w:rsidR="000D1378" w:rsidRDefault="00211C7E">
      <w:pPr>
        <w:tabs>
          <w:tab w:val="left" w:pos="5880"/>
          <w:tab w:val="right" w:pos="9840"/>
        </w:tabs>
        <w:spacing w:before="120" w:after="120"/>
      </w:pPr>
      <w:r>
        <w:rPr>
          <w:lang w:bidi="en-GB"/>
        </w:rPr>
        <w:t xml:space="preserve">Legal status  </w:t>
      </w:r>
      <w:permStart w:id="1080392947"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080392947"/>
      <w:r>
        <w:rPr>
          <w:lang w:bidi="en-GB"/>
        </w:rPr>
        <w:t xml:space="preserve">  SIRET NUMBER  </w:t>
      </w:r>
      <w:permStart w:id="1647648908"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647648908"/>
    </w:p>
    <w:p w14:paraId="33EDBA45" w14:textId="77777777" w:rsidR="000D1378" w:rsidRDefault="000D1378">
      <w:pPr>
        <w:pStyle w:val="ASNRFilet"/>
        <w:spacing w:before="120"/>
      </w:pPr>
    </w:p>
    <w:p w14:paraId="420FBE69" w14:textId="77777777" w:rsidR="000D1378" w:rsidRDefault="00211C7E">
      <w:pPr>
        <w:pStyle w:val="ASNRTitre3"/>
      </w:pPr>
      <w:r>
        <w:rPr>
          <w:lang w:bidi="en-GB"/>
        </w:rPr>
        <w:t>Address of establishment :</w:t>
      </w:r>
    </w:p>
    <w:p w14:paraId="710897B6" w14:textId="77777777" w:rsidR="000D1378" w:rsidRDefault="00211C7E">
      <w:pPr>
        <w:tabs>
          <w:tab w:val="right" w:pos="9837"/>
        </w:tabs>
        <w:spacing w:before="60"/>
        <w:rPr>
          <w:u w:val="dotted"/>
        </w:rPr>
      </w:pPr>
      <w:r>
        <w:rPr>
          <w:lang w:bidi="en-GB"/>
        </w:rPr>
        <w:t xml:space="preserve">Physical address   </w:t>
      </w:r>
      <w:permStart w:id="1237475302"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
    <w:p w14:paraId="71B10B96" w14:textId="77777777" w:rsidR="000D1378" w:rsidRDefault="00211C7E">
      <w:pPr>
        <w:tabs>
          <w:tab w:val="right" w:pos="9837"/>
        </w:tabs>
        <w:spacing w:before="40"/>
      </w:pPr>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237475302"/>
    </w:p>
    <w:p w14:paraId="30167E0B" w14:textId="77777777" w:rsidR="000D1378" w:rsidRDefault="00211C7E">
      <w:pPr>
        <w:tabs>
          <w:tab w:val="right" w:pos="9837"/>
        </w:tabs>
        <w:spacing w:before="120"/>
        <w:rPr>
          <w:u w:val="dotted"/>
        </w:rPr>
      </w:pPr>
      <w:r>
        <w:rPr>
          <w:lang w:bidi="en-GB"/>
        </w:rPr>
        <w:t xml:space="preserve">Postal address (if different)  </w:t>
      </w:r>
      <w:permStart w:id="1097558481"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
    <w:p w14:paraId="69EE2BE8" w14:textId="77777777" w:rsidR="000D1378" w:rsidRDefault="00211C7E">
      <w:pPr>
        <w:tabs>
          <w:tab w:val="right" w:pos="9837"/>
        </w:tabs>
        <w:spacing w:before="40"/>
      </w:pPr>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097558481"/>
    </w:p>
    <w:p w14:paraId="71176128" w14:textId="77777777" w:rsidR="000D1378" w:rsidRDefault="000D1378">
      <w:pPr>
        <w:tabs>
          <w:tab w:val="right" w:pos="9837"/>
        </w:tabs>
        <w:spacing w:before="120"/>
      </w:pPr>
    </w:p>
    <w:p w14:paraId="28F741BB" w14:textId="77777777" w:rsidR="000D1378" w:rsidRDefault="00211C7E">
      <w:pPr>
        <w:tabs>
          <w:tab w:val="right" w:pos="9837"/>
        </w:tabs>
        <w:spacing w:before="120"/>
        <w:rPr>
          <w:u w:val="dotted"/>
        </w:rPr>
      </w:pPr>
      <w:r>
        <w:rPr>
          <w:lang w:bidi="en-GB"/>
        </w:rPr>
        <w:lastRenderedPageBreak/>
        <w:t xml:space="preserve">Address of registered office (if different)  </w:t>
      </w:r>
      <w:permStart w:id="1032871253"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
    <w:p w14:paraId="30A162B3" w14:textId="77777777" w:rsidR="000D1378" w:rsidRDefault="00211C7E">
      <w:pPr>
        <w:tabs>
          <w:tab w:val="right" w:pos="9837"/>
        </w:tabs>
        <w:spacing w:before="40"/>
      </w:pPr>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032871253"/>
    </w:p>
    <w:p w14:paraId="3A54369C" w14:textId="77777777" w:rsidR="000D1378" w:rsidRDefault="00211C7E">
      <w:pPr>
        <w:tabs>
          <w:tab w:val="right" w:pos="9840"/>
        </w:tabs>
        <w:spacing w:before="120"/>
      </w:pPr>
      <w:r>
        <w:rPr>
          <w:lang w:bidi="en-GB"/>
        </w:rPr>
        <w:t xml:space="preserve">Website  </w:t>
      </w:r>
      <w:permStart w:id="682720074" w:edGrp="everyone"/>
      <w:r>
        <w:rPr>
          <w:rFonts w:cs="Futura LtCn BT"/>
          <w:color w:val="0082FF" w:themeColor="accent2"/>
          <w:u w:val="single"/>
          <w:lang w:bidi="en-GB"/>
        </w:rPr>
        <w:fldChar w:fldCharType="begin">
          <w:ffData>
            <w:name w:val=""/>
            <w:enabled/>
            <w:calcOnExit w:val="0"/>
            <w:textInput/>
          </w:ffData>
        </w:fldChar>
      </w:r>
      <w:r>
        <w:rPr>
          <w:rFonts w:cs="Futura LtCn BT"/>
          <w:color w:val="0082FF" w:themeColor="accent2"/>
          <w:u w:val="single"/>
          <w:lang w:bidi="en-GB"/>
        </w:rPr>
        <w:instrText xml:space="preserve"> FORMTEXT </w:instrText>
      </w:r>
      <w:r>
        <w:rPr>
          <w:rFonts w:cs="Futura LtCn BT"/>
          <w:color w:val="0082FF" w:themeColor="accent2"/>
          <w:u w:val="single"/>
          <w:lang w:bidi="en-GB"/>
        </w:rPr>
      </w:r>
      <w:r>
        <w:rPr>
          <w:rFonts w:cs="Futura LtCn BT"/>
          <w:color w:val="0082FF" w:themeColor="accent2"/>
          <w:u w:val="single"/>
          <w:lang w:bidi="en-GB"/>
        </w:rPr>
        <w:fldChar w:fldCharType="separate"/>
      </w:r>
      <w:r>
        <w:rPr>
          <w:rFonts w:cs="Futura LtCn BT"/>
          <w:noProof/>
          <w:color w:val="0082FF" w:themeColor="accent2"/>
          <w:u w:val="single"/>
          <w:lang w:bidi="en-GB"/>
        </w:rPr>
        <w:t>     </w:t>
      </w:r>
      <w:r>
        <w:rPr>
          <w:rFonts w:cs="Futura LtCn BT"/>
          <w:color w:val="0082FF" w:themeColor="accent2"/>
          <w:u w:val="single"/>
          <w:lang w:bidi="en-GB"/>
        </w:rPr>
        <w:fldChar w:fldCharType="end"/>
      </w:r>
      <w:r>
        <w:rPr>
          <w:rFonts w:cs="Futura LtCn BT"/>
          <w:color w:val="0082FF" w:themeColor="accent2"/>
          <w:u w:val="single"/>
          <w:lang w:bidi="en-GB"/>
        </w:rPr>
        <w:tab/>
      </w:r>
      <w:permEnd w:id="682720074"/>
    </w:p>
    <w:p w14:paraId="4BBFC062" w14:textId="77777777" w:rsidR="000D1378" w:rsidRDefault="000D1378">
      <w:pPr>
        <w:pStyle w:val="ASNRFilet"/>
        <w:spacing w:before="120"/>
      </w:pPr>
    </w:p>
    <w:p w14:paraId="164454E8" w14:textId="77777777" w:rsidR="000D1378" w:rsidRDefault="00211C7E">
      <w:pPr>
        <w:pStyle w:val="ASNRTitre3"/>
      </w:pPr>
      <w:r>
        <w:rPr>
          <w:lang w:bidi="en-GB"/>
        </w:rPr>
        <w:t>Represented by :</w:t>
      </w:r>
    </w:p>
    <w:permStart w:id="1289700995" w:edGrp="everyone"/>
    <w:p w14:paraId="567A11EF" w14:textId="77777777" w:rsidR="000D1378" w:rsidRDefault="00796C6E">
      <w:pPr>
        <w:tabs>
          <w:tab w:val="left" w:pos="851"/>
          <w:tab w:val="left" w:pos="1418"/>
          <w:tab w:val="left" w:pos="5880"/>
          <w:tab w:val="left" w:pos="9837"/>
        </w:tabs>
        <w:spacing w:after="120"/>
      </w:pPr>
      <w:sdt>
        <w:sdtPr>
          <w:rPr>
            <w:rFonts w:ascii="MS Gothic" w:eastAsia="MS Gothic" w:hAnsi="MS Gothic" w:hint="eastAsia"/>
          </w:rPr>
          <w:id w:val="-96567241"/>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289700995"/>
        </w:sdtContent>
      </w:sdt>
      <w:r w:rsidR="00211C7E">
        <w:rPr>
          <w:szCs w:val="20"/>
          <w:lang w:bidi="en-GB"/>
        </w:rPr>
        <w:t xml:space="preserve"> </w:t>
      </w:r>
      <w:r w:rsidR="00211C7E">
        <w:rPr>
          <w:sz w:val="16"/>
          <w:szCs w:val="16"/>
          <w:lang w:bidi="en-GB"/>
        </w:rPr>
        <w:t>Ms</w:t>
      </w:r>
      <w:r w:rsidR="00211C7E">
        <w:rPr>
          <w:sz w:val="16"/>
          <w:szCs w:val="16"/>
          <w:lang w:bidi="en-GB"/>
        </w:rPr>
        <w:tab/>
      </w:r>
      <w:permStart w:id="1183276103" w:edGrp="everyone"/>
      <w:sdt>
        <w:sdtPr>
          <w:rPr>
            <w:rFonts w:ascii="MS Gothic" w:eastAsia="MS Gothic" w:hAnsi="MS Gothic" w:hint="eastAsia"/>
          </w:rPr>
          <w:id w:val="39740710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183276103"/>
        </w:sdtContent>
      </w:sdt>
      <w:r w:rsidR="00211C7E">
        <w:rPr>
          <w:szCs w:val="20"/>
          <w:lang w:bidi="en-GB"/>
        </w:rPr>
        <w:t xml:space="preserve"> </w:t>
      </w:r>
      <w:r w:rsidR="00211C7E">
        <w:rPr>
          <w:sz w:val="16"/>
          <w:szCs w:val="16"/>
          <w:lang w:bidi="en-GB"/>
        </w:rPr>
        <w:t>Mr</w:t>
      </w:r>
      <w:r w:rsidR="00211C7E">
        <w:rPr>
          <w:sz w:val="16"/>
          <w:szCs w:val="16"/>
          <w:lang w:bidi="en-GB"/>
        </w:rPr>
        <w:tab/>
      </w:r>
      <w:r w:rsidR="00211C7E">
        <w:rPr>
          <w:lang w:bidi="en-GB"/>
        </w:rPr>
        <w:t xml:space="preserve">Surname  </w:t>
      </w:r>
      <w:permStart w:id="1368021877" w:edGrp="everyone"/>
      <w:r w:rsidR="00211C7E">
        <w:rPr>
          <w:rFonts w:cs="Futura LtCn BT"/>
          <w:color w:val="0082FF" w:themeColor="accent2"/>
          <w:u w:val="single"/>
          <w:lang w:bidi="en-GB"/>
        </w:rPr>
        <w:fldChar w:fldCharType="begin">
          <w:ffData>
            <w:name w:val=""/>
            <w:enabled/>
            <w:calcOnExit w:val="0"/>
            <w:textInput/>
          </w:ffData>
        </w:fldChar>
      </w:r>
      <w:r w:rsidR="00211C7E">
        <w:rPr>
          <w:rFonts w:cs="Futura LtCn BT"/>
          <w:color w:val="0082FF" w:themeColor="accent2"/>
          <w:u w:val="single"/>
          <w:lang w:bidi="en-GB"/>
        </w:rPr>
        <w:instrText xml:space="preserve"> FORMTEXT </w:instrText>
      </w:r>
      <w:r w:rsidR="00211C7E">
        <w:rPr>
          <w:rFonts w:cs="Futura LtCn BT"/>
          <w:color w:val="0082FF" w:themeColor="accent2"/>
          <w:u w:val="single"/>
          <w:lang w:bidi="en-GB"/>
        </w:rPr>
      </w:r>
      <w:r w:rsidR="00211C7E">
        <w:rPr>
          <w:rFonts w:cs="Futura LtCn BT"/>
          <w:color w:val="0082FF" w:themeColor="accent2"/>
          <w:u w:val="single"/>
          <w:lang w:bidi="en-GB"/>
        </w:rPr>
        <w:fldChar w:fldCharType="separate"/>
      </w:r>
      <w:r w:rsidR="00211C7E">
        <w:rPr>
          <w:rFonts w:cs="Futura LtCn BT"/>
          <w:noProof/>
          <w:color w:val="0082FF" w:themeColor="accent2"/>
          <w:u w:val="single"/>
          <w:lang w:bidi="en-GB"/>
        </w:rPr>
        <w:t>     </w:t>
      </w:r>
      <w:r w:rsidR="00211C7E">
        <w:rPr>
          <w:rFonts w:cs="Futura LtCn BT"/>
          <w:color w:val="0082FF" w:themeColor="accent2"/>
          <w:u w:val="single"/>
          <w:lang w:bidi="en-GB"/>
        </w:rPr>
        <w:fldChar w:fldCharType="end"/>
      </w:r>
      <w:r w:rsidR="00211C7E">
        <w:rPr>
          <w:rFonts w:cs="Futura LtCn BT"/>
          <w:color w:val="0082FF" w:themeColor="accent2"/>
          <w:u w:val="single"/>
          <w:lang w:bidi="en-GB"/>
        </w:rPr>
        <w:tab/>
      </w:r>
      <w:permEnd w:id="1368021877"/>
      <w:r w:rsidR="00211C7E">
        <w:rPr>
          <w:lang w:bidi="en-GB"/>
        </w:rPr>
        <w:t xml:space="preserve">  First name  </w:t>
      </w:r>
      <w:permStart w:id="723677512" w:edGrp="everyone"/>
      <w:r w:rsidR="00211C7E">
        <w:rPr>
          <w:rFonts w:cs="Futura LtCn BT"/>
          <w:color w:val="0082FF" w:themeColor="accent2"/>
          <w:u w:val="single"/>
          <w:lang w:bidi="en-GB"/>
        </w:rPr>
        <w:fldChar w:fldCharType="begin">
          <w:ffData>
            <w:name w:val=""/>
            <w:enabled/>
            <w:calcOnExit w:val="0"/>
            <w:textInput/>
          </w:ffData>
        </w:fldChar>
      </w:r>
      <w:r w:rsidR="00211C7E">
        <w:rPr>
          <w:rFonts w:cs="Futura LtCn BT"/>
          <w:color w:val="0082FF" w:themeColor="accent2"/>
          <w:u w:val="single"/>
          <w:lang w:bidi="en-GB"/>
        </w:rPr>
        <w:instrText xml:space="preserve"> FORMTEXT </w:instrText>
      </w:r>
      <w:r w:rsidR="00211C7E">
        <w:rPr>
          <w:rFonts w:cs="Futura LtCn BT"/>
          <w:color w:val="0082FF" w:themeColor="accent2"/>
          <w:u w:val="single"/>
          <w:lang w:bidi="en-GB"/>
        </w:rPr>
      </w:r>
      <w:r w:rsidR="00211C7E">
        <w:rPr>
          <w:rFonts w:cs="Futura LtCn BT"/>
          <w:color w:val="0082FF" w:themeColor="accent2"/>
          <w:u w:val="single"/>
          <w:lang w:bidi="en-GB"/>
        </w:rPr>
        <w:fldChar w:fldCharType="separate"/>
      </w:r>
      <w:r w:rsidR="00211C7E">
        <w:rPr>
          <w:rFonts w:cs="Futura LtCn BT"/>
          <w:noProof/>
          <w:color w:val="0082FF" w:themeColor="accent2"/>
          <w:u w:val="single"/>
          <w:lang w:bidi="en-GB"/>
        </w:rPr>
        <w:t>     </w:t>
      </w:r>
      <w:r w:rsidR="00211C7E">
        <w:rPr>
          <w:rFonts w:cs="Futura LtCn BT"/>
          <w:color w:val="0082FF" w:themeColor="accent2"/>
          <w:u w:val="single"/>
          <w:lang w:bidi="en-GB"/>
        </w:rPr>
        <w:fldChar w:fldCharType="end"/>
      </w:r>
      <w:r w:rsidR="00211C7E">
        <w:rPr>
          <w:rFonts w:cs="Futura LtCn BT"/>
          <w:color w:val="0082FF" w:themeColor="accent2"/>
          <w:u w:val="single"/>
          <w:lang w:bidi="en-GB"/>
        </w:rPr>
        <w:tab/>
      </w:r>
      <w:permEnd w:id="723677512"/>
    </w:p>
    <w:p w14:paraId="240EECDF" w14:textId="77777777" w:rsidR="000D1378" w:rsidRDefault="00211C7E">
      <w:pPr>
        <w:tabs>
          <w:tab w:val="left" w:pos="3402"/>
          <w:tab w:val="right" w:pos="9840"/>
        </w:tabs>
        <w:spacing w:after="120"/>
      </w:pPr>
      <w:r>
        <w:rPr>
          <w:lang w:bidi="en-GB"/>
        </w:rPr>
        <w:t xml:space="preserve">Telephone  </w:t>
      </w:r>
      <w:permStart w:id="1140485622"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1140485622"/>
      <w:r>
        <w:rPr>
          <w:lang w:bidi="en-GB"/>
        </w:rPr>
        <w:t xml:space="preserve">  Email  </w:t>
      </w:r>
      <w:permStart w:id="447225894"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447225894"/>
    </w:p>
    <w:p w14:paraId="6BA1E1D4" w14:textId="77777777" w:rsidR="000D1378" w:rsidRDefault="00211C7E">
      <w:pPr>
        <w:tabs>
          <w:tab w:val="right" w:pos="9840"/>
        </w:tabs>
        <w:spacing w:after="120"/>
      </w:pPr>
      <w:r>
        <w:rPr>
          <w:lang w:bidi="en-GB"/>
        </w:rPr>
        <w:t xml:space="preserve">Position held  </w:t>
      </w:r>
      <w:permStart w:id="507464952" w:edGrp="everyone"/>
      <w:r>
        <w:rPr>
          <w:color w:val="0082FF" w:themeColor="accent2"/>
          <w:u w:val="single"/>
          <w:lang w:bidi="en-GB"/>
        </w:rPr>
        <w:fldChar w:fldCharType="begin">
          <w:ffData>
            <w:name w:val=""/>
            <w:enabled/>
            <w:calcOnExit w:val="0"/>
            <w:textInput/>
          </w:ffData>
        </w:fldChar>
      </w:r>
      <w:r>
        <w:rPr>
          <w:color w:val="0082FF" w:themeColor="accent2"/>
          <w:u w:val="single"/>
          <w:lang w:bidi="en-GB"/>
        </w:rPr>
        <w:instrText xml:space="preserve"> FORMTEXT </w:instrText>
      </w:r>
      <w:r>
        <w:rPr>
          <w:color w:val="0082FF" w:themeColor="accent2"/>
          <w:u w:val="single"/>
          <w:lang w:bidi="en-GB"/>
        </w:rPr>
      </w:r>
      <w:r>
        <w:rPr>
          <w:color w:val="0082FF" w:themeColor="accent2"/>
          <w:u w:val="single"/>
          <w:lang w:bidi="en-GB"/>
        </w:rPr>
        <w:fldChar w:fldCharType="separate"/>
      </w:r>
      <w:r>
        <w:rPr>
          <w:noProof/>
          <w:color w:val="0082FF" w:themeColor="accent2"/>
          <w:u w:val="single"/>
          <w:lang w:bidi="en-GB"/>
        </w:rPr>
        <w:t>     </w:t>
      </w:r>
      <w:r>
        <w:rPr>
          <w:color w:val="0082FF" w:themeColor="accent2"/>
          <w:u w:val="single"/>
          <w:lang w:bidi="en-GB"/>
        </w:rPr>
        <w:fldChar w:fldCharType="end"/>
      </w:r>
      <w:r>
        <w:rPr>
          <w:color w:val="0082FF" w:themeColor="accent2"/>
          <w:u w:val="single"/>
          <w:lang w:bidi="en-GB"/>
        </w:rPr>
        <w:tab/>
      </w:r>
      <w:permEnd w:id="507464952"/>
    </w:p>
    <w:p w14:paraId="3C617269" w14:textId="77777777" w:rsidR="000D1378" w:rsidRDefault="000D1378">
      <w:pPr>
        <w:keepNext/>
        <w:autoSpaceDE w:val="0"/>
        <w:autoSpaceDN w:val="0"/>
        <w:adjustRightInd w:val="0"/>
        <w:jc w:val="left"/>
        <w:rPr>
          <w:b/>
          <w:bCs/>
        </w:rPr>
      </w:pPr>
    </w:p>
    <w:p w14:paraId="016EEB4F" w14:textId="77777777" w:rsidR="000D1378" w:rsidRDefault="00211C7E">
      <w:pPr>
        <w:keepNext/>
        <w:autoSpaceDE w:val="0"/>
        <w:autoSpaceDN w:val="0"/>
        <w:adjustRightInd w:val="0"/>
        <w:jc w:val="left"/>
        <w:rPr>
          <w:b/>
          <w:bCs/>
        </w:rPr>
      </w:pPr>
      <w:r>
        <w:rPr>
          <w:b/>
          <w:lang w:bidi="en-GB"/>
        </w:rPr>
        <w:t>Application by an individual (“natural person”) only:</w:t>
      </w:r>
    </w:p>
    <w:permStart w:id="2137199993" w:edGrp="everyone"/>
    <w:p w14:paraId="1745DBEA" w14:textId="77777777" w:rsidR="000D1378" w:rsidRDefault="00796C6E">
      <w:pPr>
        <w:autoSpaceDE w:val="0"/>
        <w:autoSpaceDN w:val="0"/>
        <w:adjustRightInd w:val="0"/>
        <w:ind w:left="284" w:hanging="284"/>
        <w:jc w:val="left"/>
        <w:rPr>
          <w:i/>
          <w:iCs/>
          <w:sz w:val="16"/>
          <w:szCs w:val="16"/>
        </w:rPr>
      </w:pPr>
      <w:sdt>
        <w:sdtPr>
          <w:rPr>
            <w:rFonts w:ascii="MS Gothic" w:eastAsia="MS Gothic" w:hAnsi="MS Gothic" w:hint="eastAsia"/>
          </w:rPr>
          <w:id w:val="-1247333418"/>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2137199993"/>
        </w:sdtContent>
      </w:sdt>
      <w:r w:rsidR="00211C7E">
        <w:rPr>
          <w:sz w:val="16"/>
          <w:szCs w:val="16"/>
          <w:lang w:bidi="en-GB"/>
        </w:rPr>
        <w:tab/>
      </w:r>
      <w:r w:rsidR="00211C7E">
        <w:rPr>
          <w:i/>
          <w:lang w:bidi="en-GB"/>
        </w:rPr>
        <w:t>Tick the box and fill in the information requested above.</w:t>
      </w:r>
    </w:p>
    <w:p w14:paraId="6E126BE9" w14:textId="77777777" w:rsidR="000D1378" w:rsidRDefault="00211C7E">
      <w:pPr>
        <w:pStyle w:val="ASNRTITRE1"/>
      </w:pPr>
      <w:r>
        <w:rPr>
          <w:lang w:bidi="en-GB"/>
        </w:rPr>
        <w:t>A. Application for initial authorisation</w:t>
      </w:r>
    </w:p>
    <w:p w14:paraId="53C2AF0F" w14:textId="77777777" w:rsidR="000D1378" w:rsidRDefault="000D1378">
      <w:pPr>
        <w:pStyle w:val="ASNRFilet"/>
      </w:pPr>
    </w:p>
    <w:p w14:paraId="6EC2B9C6" w14:textId="77777777" w:rsidR="000D1378" w:rsidRDefault="00211C7E">
      <w:pPr>
        <w:pStyle w:val="ASNRTitre3"/>
      </w:pPr>
      <w:r>
        <w:rPr>
          <w:lang w:bidi="en-GB"/>
        </w:rPr>
        <w:t>For ionising radiation sources or batches of ionising radiation sources, irrespective of their category, including category D:</w:t>
      </w:r>
    </w:p>
    <w:p w14:paraId="3F5DCD47" w14:textId="77777777" w:rsidR="000D1378" w:rsidRDefault="00211C7E">
      <w:pPr>
        <w:pStyle w:val="ASNRExergue1"/>
      </w:pPr>
      <w:r>
        <w:rPr>
          <w:lang w:bidi="en-GB"/>
        </w:rPr>
        <w:t>You must attach the following documents to this form, and tick the boxes corresponding to the documents sent.</w:t>
      </w:r>
    </w:p>
    <w:permStart w:id="964712047" w:edGrp="everyone"/>
    <w:p w14:paraId="0C98E973" w14:textId="77777777" w:rsidR="000D1378" w:rsidRDefault="00796C6E">
      <w:pPr>
        <w:pStyle w:val="ASNRPourcasecocher1"/>
      </w:pPr>
      <w:sdt>
        <w:sdtPr>
          <w:rPr>
            <w:rFonts w:ascii="MS Gothic" w:eastAsia="MS Gothic" w:hAnsi="MS Gothic" w:hint="eastAsia"/>
          </w:rPr>
          <w:id w:val="1489211991"/>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964712047"/>
        </w:sdtContent>
      </w:sdt>
      <w:r w:rsidR="00211C7E">
        <w:rPr>
          <w:b/>
          <w:lang w:bidi="en-GB"/>
        </w:rPr>
        <w:tab/>
        <w:t>A1 -</w:t>
      </w:r>
      <w:r w:rsidR="00211C7E">
        <w:rPr>
          <w:b/>
          <w:lang w:bidi="en-GB"/>
        </w:rPr>
        <w:tab/>
      </w:r>
      <w:r w:rsidR="00211C7E">
        <w:rPr>
          <w:lang w:bidi="en-GB"/>
        </w:rPr>
        <w:t>A document identifying the category (A, B, C, D) of the sources and of any batches of sources intended for carriage. If a batch of sources has been put together, the reasons for doing so must be provided, in particular the joint protective measures taken against the commission of malicious acts (R. 1333-14).</w:t>
      </w:r>
    </w:p>
    <w:permStart w:id="1162416273" w:edGrp="everyone"/>
    <w:p w14:paraId="61408D48" w14:textId="77777777" w:rsidR="000D1378" w:rsidRDefault="00796C6E">
      <w:pPr>
        <w:pStyle w:val="ASNRPourcasecocher1"/>
        <w:rPr>
          <w:bCs/>
        </w:rPr>
      </w:pPr>
      <w:sdt>
        <w:sdtPr>
          <w:rPr>
            <w:rFonts w:ascii="MS Gothic" w:eastAsia="MS Gothic" w:hAnsi="MS Gothic" w:hint="eastAsia"/>
          </w:rPr>
          <w:id w:val="172926507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162416273"/>
        </w:sdtContent>
      </w:sdt>
      <w:r w:rsidR="00211C7E">
        <w:rPr>
          <w:b/>
          <w:lang w:bidi="en-GB"/>
        </w:rPr>
        <w:tab/>
        <w:t>A2 -</w:t>
      </w:r>
      <w:r w:rsidR="00211C7E">
        <w:rPr>
          <w:b/>
          <w:lang w:bidi="en-GB"/>
        </w:rPr>
        <w:tab/>
      </w:r>
      <w:r w:rsidR="00211C7E">
        <w:rPr>
          <w:lang w:bidi="en-GB"/>
        </w:rPr>
        <w:t>A document concerning the actors involved, specifying:</w:t>
      </w:r>
    </w:p>
    <w:p w14:paraId="0478FF51" w14:textId="77777777" w:rsidR="000D1378" w:rsidRDefault="00211C7E">
      <w:pPr>
        <w:pStyle w:val="ASNRPuceenretrait2"/>
        <w:rPr>
          <w:bCs/>
        </w:rPr>
      </w:pPr>
      <w:r>
        <w:rPr>
          <w:lang w:bidi="en-GB"/>
        </w:rPr>
        <w:t>the identity and contact details of the person(s) to be contacted in an emergency involving the transport of radioactive substances;</w:t>
      </w:r>
    </w:p>
    <w:p w14:paraId="30E77914" w14:textId="77777777" w:rsidR="000D1378" w:rsidRDefault="00211C7E">
      <w:pPr>
        <w:pStyle w:val="ASNRPuceenretrait2"/>
        <w:rPr>
          <w:bCs/>
        </w:rPr>
      </w:pPr>
      <w:r>
        <w:rPr>
          <w:lang w:bidi="en-GB"/>
        </w:rPr>
        <w:t>the identity and contact details of the radiation protection advisor(s) provided for in Article R. 1333-18 of the French Public Health Code;</w:t>
      </w:r>
    </w:p>
    <w:p w14:paraId="3B1CC603" w14:textId="77777777" w:rsidR="000D1378" w:rsidRDefault="00211C7E">
      <w:pPr>
        <w:pStyle w:val="ASNRPuceenretrait2"/>
        <w:rPr>
          <w:bCs/>
        </w:rPr>
      </w:pPr>
      <w:r>
        <w:rPr>
          <w:lang w:bidi="en-GB"/>
        </w:rPr>
        <w:t>the identity and contact details of the transport safety advisor(s), where required by the regulations on the transport of dangerous goods;</w:t>
      </w:r>
    </w:p>
    <w:p w14:paraId="59E54172" w14:textId="77777777" w:rsidR="000D1378" w:rsidRDefault="00211C7E">
      <w:pPr>
        <w:pStyle w:val="ASNRPuceenretrait2"/>
        <w:rPr>
          <w:bCs/>
        </w:rPr>
      </w:pPr>
      <w:r>
        <w:rPr>
          <w:lang w:bidi="en-GB"/>
        </w:rPr>
        <w:t>the transit storage areas or sites able to accommodate the radioactive substances which are planned to be used for stops necessitated by transport circumstances;</w:t>
      </w:r>
    </w:p>
    <w:p w14:paraId="4B0CA2E2" w14:textId="77777777" w:rsidR="000D1378" w:rsidRDefault="00211C7E">
      <w:pPr>
        <w:pStyle w:val="ASNRPuceenretrait2"/>
      </w:pPr>
      <w:r>
        <w:rPr>
          <w:lang w:bidi="en-GB"/>
        </w:rPr>
        <w:t>the list and contact details of any service providers and subcontractors carrying out carriage operations on behalf of the applicant, as well as the number or approximate number of carriage operations carried out by each service provider or subcontractor.</w:t>
      </w:r>
    </w:p>
    <w:permStart w:id="1952266853" w:edGrp="everyone"/>
    <w:p w14:paraId="3ED1843B" w14:textId="77777777" w:rsidR="000D1378" w:rsidRDefault="00796C6E">
      <w:pPr>
        <w:pStyle w:val="ASNRPourcasecocher1"/>
        <w:rPr>
          <w:bCs/>
        </w:rPr>
      </w:pPr>
      <w:sdt>
        <w:sdtPr>
          <w:rPr>
            <w:rFonts w:ascii="MS Gothic" w:eastAsia="MS Gothic" w:hAnsi="MS Gothic" w:hint="eastAsia"/>
          </w:rPr>
          <w:id w:val="-915094579"/>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952266853"/>
        </w:sdtContent>
      </w:sdt>
      <w:r w:rsidR="00211C7E">
        <w:rPr>
          <w:b/>
          <w:lang w:bidi="en-GB"/>
        </w:rPr>
        <w:tab/>
        <w:t>A3 -</w:t>
      </w:r>
      <w:r w:rsidR="00211C7E">
        <w:rPr>
          <w:b/>
          <w:lang w:bidi="en-GB"/>
        </w:rPr>
        <w:tab/>
      </w:r>
      <w:r w:rsidR="00211C7E">
        <w:rPr>
          <w:lang w:bidi="en-GB"/>
        </w:rPr>
        <w:t>A document providing quantified information about the carriage activity with respect to each actor, specifying:</w:t>
      </w:r>
    </w:p>
    <w:p w14:paraId="06CA93E5" w14:textId="77777777" w:rsidR="000D1378" w:rsidRDefault="00211C7E">
      <w:pPr>
        <w:pStyle w:val="ASNRPuceenretrait2"/>
        <w:rPr>
          <w:bCs/>
        </w:rPr>
      </w:pPr>
      <w:r>
        <w:rPr>
          <w:lang w:bidi="en-GB"/>
        </w:rPr>
        <w:t>the number, as at 31 December of the previous calendar year, of drivers who hold the training certificate for driving vehicles carrying class 7 dangerous goods and of drivers who do not hold this certificate but who have received the training provided for in S12 of Chapter 8.5 of the European Agreement concerning the International Carriage of Dangerous Goods by Road (ADR);</w:t>
      </w:r>
    </w:p>
    <w:p w14:paraId="24985E1B" w14:textId="77777777" w:rsidR="000D1378" w:rsidRDefault="00211C7E">
      <w:pPr>
        <w:pStyle w:val="ASNRPuceenretrait2"/>
        <w:rPr>
          <w:bCs/>
        </w:rPr>
      </w:pPr>
      <w:r>
        <w:rPr>
          <w:lang w:bidi="en-GB"/>
        </w:rPr>
        <w:t>the number or approximate number of class 7 transport operations carried out;</w:t>
      </w:r>
    </w:p>
    <w:p w14:paraId="045F0834" w14:textId="77777777" w:rsidR="000D1378" w:rsidRDefault="00211C7E">
      <w:pPr>
        <w:pStyle w:val="ASNRPuceenretrait2"/>
        <w:rPr>
          <w:bCs/>
        </w:rPr>
      </w:pPr>
      <w:r>
        <w:rPr>
          <w:lang w:bidi="en-GB"/>
        </w:rPr>
        <w:t>for each UN number, the number or approximate number of class 7 packages carried;</w:t>
      </w:r>
    </w:p>
    <w:p w14:paraId="4CCA76ED" w14:textId="77777777" w:rsidR="000D1378" w:rsidRDefault="00211C7E">
      <w:pPr>
        <w:pStyle w:val="ASNRPuceenretrait2"/>
      </w:pPr>
      <w:r>
        <w:rPr>
          <w:lang w:bidi="en-GB"/>
        </w:rPr>
        <w:t>for category A, B or C, the number or approximate number of packages carried.</w:t>
      </w:r>
    </w:p>
    <w:p w14:paraId="0E41393E" w14:textId="77777777" w:rsidR="000D1378" w:rsidRDefault="000D1378">
      <w:pPr>
        <w:pStyle w:val="ASNRFilet"/>
      </w:pPr>
    </w:p>
    <w:p w14:paraId="773DBC83" w14:textId="77777777" w:rsidR="000D1378" w:rsidRDefault="00211C7E">
      <w:pPr>
        <w:pStyle w:val="ASNRTitre3"/>
      </w:pPr>
      <w:r>
        <w:rPr>
          <w:lang w:bidi="en-GB"/>
        </w:rPr>
        <w:t>In addition, for radioactive sources or batches of radioactive sources in category A, B or C only:</w:t>
      </w:r>
    </w:p>
    <w:p w14:paraId="1675E840" w14:textId="77777777" w:rsidR="000D1378" w:rsidRDefault="00211C7E">
      <w:pPr>
        <w:pStyle w:val="ASNRExergue1"/>
      </w:pPr>
      <w:r>
        <w:rPr>
          <w:lang w:bidi="en-GB"/>
        </w:rPr>
        <w:t>You must attach the following documents to this form, and tick the boxes corresponding to the documents sent. The level of detail of the information provided must be proportionate to the significance of the topics concerned.</w:t>
      </w:r>
    </w:p>
    <w:permStart w:id="1567911121" w:edGrp="everyone"/>
    <w:p w14:paraId="445BA010" w14:textId="77777777" w:rsidR="000D1378" w:rsidRDefault="00796C6E">
      <w:pPr>
        <w:pStyle w:val="ASNRPourcasecocher1"/>
      </w:pPr>
      <w:sdt>
        <w:sdtPr>
          <w:rPr>
            <w:rFonts w:ascii="MS Gothic" w:eastAsia="MS Gothic" w:hAnsi="MS Gothic" w:hint="eastAsia"/>
          </w:rPr>
          <w:id w:val="-1164315515"/>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567911121"/>
        </w:sdtContent>
      </w:sdt>
      <w:r w:rsidR="00211C7E">
        <w:rPr>
          <w:b/>
          <w:lang w:bidi="en-GB"/>
        </w:rPr>
        <w:tab/>
        <w:t>A4 -</w:t>
      </w:r>
      <w:r w:rsidR="00211C7E">
        <w:rPr>
          <w:b/>
          <w:lang w:bidi="en-GB"/>
        </w:rPr>
        <w:tab/>
      </w:r>
      <w:r w:rsidR="00211C7E">
        <w:rPr>
          <w:lang w:bidi="en-GB"/>
        </w:rPr>
        <w:t>A document describing the organisation set up for the issuance, withdrawal and updating of authorisations granting access to sources, carriage of sources, and access to information relating to the means or measures implemented for their protection (R. 1333-148 and Art. 13).</w:t>
      </w:r>
    </w:p>
    <w:permStart w:id="1471641212" w:edGrp="everyone"/>
    <w:p w14:paraId="0A18643A" w14:textId="77777777" w:rsidR="000D1378" w:rsidRDefault="00796C6E">
      <w:pPr>
        <w:pStyle w:val="ASNRPourcasecocher1"/>
      </w:pPr>
      <w:sdt>
        <w:sdtPr>
          <w:rPr>
            <w:rFonts w:ascii="MS Gothic" w:eastAsia="MS Gothic" w:hAnsi="MS Gothic" w:hint="eastAsia"/>
          </w:rPr>
          <w:id w:val="1394081458"/>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471641212"/>
        </w:sdtContent>
      </w:sdt>
      <w:r w:rsidR="00211C7E">
        <w:rPr>
          <w:b/>
          <w:lang w:bidi="en-GB"/>
        </w:rPr>
        <w:tab/>
        <w:t xml:space="preserve">A5 </w:t>
      </w:r>
      <w:r w:rsidR="00211C7E">
        <w:rPr>
          <w:lang w:bidi="en-GB"/>
        </w:rPr>
        <w:t>-</w:t>
      </w:r>
      <w:r w:rsidR="00211C7E">
        <w:rPr>
          <w:lang w:bidi="en-GB"/>
        </w:rPr>
        <w:tab/>
        <w:t>A malicious events management plan describing the actions to be taken in case of a malicious event and identifying the people responsible for carrying them out (Art. 18).</w:t>
      </w:r>
    </w:p>
    <w:permStart w:id="2100183554" w:edGrp="everyone"/>
    <w:p w14:paraId="64C9B373" w14:textId="77777777" w:rsidR="000D1378" w:rsidRDefault="00796C6E">
      <w:pPr>
        <w:pStyle w:val="ASNRPourcasecocher1"/>
      </w:pPr>
      <w:sdt>
        <w:sdtPr>
          <w:rPr>
            <w:rFonts w:ascii="MS Gothic" w:eastAsia="MS Gothic" w:hAnsi="MS Gothic" w:hint="eastAsia"/>
          </w:rPr>
          <w:id w:val="-49002259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2100183554"/>
        </w:sdtContent>
      </w:sdt>
      <w:r w:rsidR="00211C7E">
        <w:rPr>
          <w:b/>
          <w:lang w:bidi="en-GB"/>
        </w:rPr>
        <w:tab/>
        <w:t>A6 -</w:t>
      </w:r>
      <w:r w:rsidR="00211C7E">
        <w:rPr>
          <w:lang w:bidi="en-GB"/>
        </w:rPr>
        <w:tab/>
        <w:t>A document describing the organisation set up to ensure that any malicious event is recorded and analysed, and that the competent authorities are alerted without delay if a source is lost, or in the event of a malicious act or attempted malicious act (R. 1333-22 and Art. 17).</w:t>
      </w:r>
    </w:p>
    <w:permStart w:id="745942573" w:edGrp="everyone"/>
    <w:p w14:paraId="28F62D54" w14:textId="77777777" w:rsidR="000D1378" w:rsidRDefault="00796C6E">
      <w:pPr>
        <w:pStyle w:val="ASNRPourcasecocher1"/>
        <w:keepNext/>
      </w:pPr>
      <w:sdt>
        <w:sdtPr>
          <w:rPr>
            <w:rFonts w:ascii="MS Gothic" w:eastAsia="MS Gothic" w:hAnsi="MS Gothic" w:hint="eastAsia"/>
          </w:rPr>
          <w:id w:val="-201028216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745942573"/>
        </w:sdtContent>
      </w:sdt>
      <w:r w:rsidR="00211C7E">
        <w:rPr>
          <w:b/>
          <w:lang w:bidi="en-GB"/>
        </w:rPr>
        <w:tab/>
        <w:t>A7 -</w:t>
      </w:r>
      <w:r w:rsidR="00211C7E">
        <w:rPr>
          <w:b/>
          <w:lang w:bidi="en-GB"/>
        </w:rPr>
        <w:tab/>
      </w:r>
      <w:r w:rsidR="00211C7E">
        <w:rPr>
          <w:lang w:bidi="en-GB"/>
        </w:rPr>
        <w:t>The policy for protection against malicious acts (Art. 11).</w:t>
      </w:r>
    </w:p>
    <w:permStart w:id="215637415" w:edGrp="everyone"/>
    <w:p w14:paraId="0735AE3C" w14:textId="77777777" w:rsidR="000D1378" w:rsidRDefault="00796C6E">
      <w:pPr>
        <w:pStyle w:val="ASNRPourcasecocher1"/>
      </w:pPr>
      <w:sdt>
        <w:sdtPr>
          <w:rPr>
            <w:rFonts w:ascii="MS Gothic" w:eastAsia="MS Gothic" w:hAnsi="MS Gothic" w:hint="eastAsia"/>
          </w:rPr>
          <w:id w:val="-372314691"/>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215637415"/>
        </w:sdtContent>
      </w:sdt>
      <w:r w:rsidR="00211C7E">
        <w:rPr>
          <w:b/>
          <w:lang w:bidi="en-GB"/>
        </w:rPr>
        <w:tab/>
        <w:t>A8 -</w:t>
      </w:r>
      <w:r w:rsidR="00211C7E">
        <w:rPr>
          <w:b/>
          <w:lang w:bidi="en-GB"/>
        </w:rPr>
        <w:tab/>
      </w:r>
      <w:r w:rsidR="00211C7E">
        <w:rPr>
          <w:lang w:bidi="en-GB"/>
        </w:rPr>
        <w:t>A document describing the actions designed to raise awareness or train transport company personnel in combating malicious acts, particularly with regard to the roles and actions to be taken by the people involved in the protection system against malicious acts and the protection of sensitive information</w:t>
      </w:r>
      <w:r w:rsidR="00211C7E">
        <w:rPr>
          <w:vertAlign w:val="superscript"/>
          <w:lang w:bidi="en-GB"/>
        </w:rPr>
        <w:footnoteReference w:id="2"/>
      </w:r>
      <w:r w:rsidR="00211C7E">
        <w:rPr>
          <w:lang w:bidi="en-GB"/>
        </w:rPr>
        <w:t>, specifying the approach adopted to adapt the content of such awareness-raising or training sessions to the various roles, and the frequency with which these actions are renewed (Art. 13).</w:t>
      </w:r>
    </w:p>
    <w:permStart w:id="1052519918" w:edGrp="everyone"/>
    <w:p w14:paraId="3169E88C" w14:textId="77777777" w:rsidR="000D1378" w:rsidRDefault="00796C6E">
      <w:pPr>
        <w:pStyle w:val="ASNRPourcasecocher1"/>
      </w:pPr>
      <w:sdt>
        <w:sdtPr>
          <w:rPr>
            <w:rFonts w:ascii="MS Gothic" w:eastAsia="MS Gothic" w:hAnsi="MS Gothic" w:hint="eastAsia"/>
          </w:rPr>
          <w:id w:val="10731925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052519918"/>
        </w:sdtContent>
      </w:sdt>
      <w:r w:rsidR="00211C7E">
        <w:rPr>
          <w:b/>
          <w:lang w:bidi="en-GB"/>
        </w:rPr>
        <w:tab/>
        <w:t>A9 -</w:t>
      </w:r>
      <w:r w:rsidR="00211C7E">
        <w:rPr>
          <w:lang w:bidi="en-GB"/>
        </w:rPr>
        <w:tab/>
        <w:t>The following elements of the malicious acts protection plan:</w:t>
      </w:r>
    </w:p>
    <w:p w14:paraId="470B17E7" w14:textId="77777777" w:rsidR="000D1378" w:rsidRDefault="00211C7E">
      <w:pPr>
        <w:numPr>
          <w:ilvl w:val="0"/>
          <w:numId w:val="3"/>
        </w:numPr>
      </w:pPr>
      <w:r>
        <w:rPr>
          <w:lang w:bidi="en-GB"/>
        </w:rPr>
        <w:t>the functions of the personnel who make a significant contribution to the protection against malicious acts (for example: security manager, internal or external security department), specifying their roles (Art. 13 and 19, 4);</w:t>
      </w:r>
    </w:p>
    <w:p w14:paraId="0FA0D8FB" w14:textId="77777777" w:rsidR="000D1378" w:rsidRDefault="00211C7E">
      <w:pPr>
        <w:numPr>
          <w:ilvl w:val="0"/>
          <w:numId w:val="3"/>
        </w:numPr>
        <w:ind w:left="1210"/>
      </w:pPr>
      <w:r>
        <w:rPr>
          <w:lang w:bidi="en-GB"/>
        </w:rPr>
        <w:t>a description of the protection system against malicious acts, designed to prevent, delay or detect unauthorised access to sources and, more generally, to protect them against theft or wilful damage, and the justification for the technical and organisational provisions adopted (Art. 6 and 19, 5).</w:t>
      </w:r>
    </w:p>
    <w:p w14:paraId="28B0C36B" w14:textId="77777777" w:rsidR="000D1378" w:rsidRDefault="00211C7E">
      <w:pPr>
        <w:spacing w:before="120"/>
        <w:ind w:left="850"/>
      </w:pPr>
      <w:r>
        <w:rPr>
          <w:lang w:bidi="en-GB"/>
        </w:rPr>
        <w:t>The information sent must be structured so that it addresses each requirement of the applicable annex(es) of the Order of 29 November 2019 as amended, taking account of the sources or batches of sources carried. The level of detail must enable the ASNR to verify that the organisational arrangements adopted and the equipment and human resources deployed effectively enable the applicable regulatory requirements regarding the protection of sources against malicious acts to be met. In particular, the following must be specified:</w:t>
      </w:r>
    </w:p>
    <w:p w14:paraId="2045961F" w14:textId="77777777" w:rsidR="000D1378" w:rsidRDefault="00211C7E">
      <w:pPr>
        <w:pStyle w:val="ASNRPuceenretrait2"/>
      </w:pPr>
      <w:r>
        <w:rPr>
          <w:lang w:bidi="en-GB"/>
        </w:rPr>
        <w:t>the arrangements made between or with the senders and the receiver to coordinate the carriage, and in particular to organise the delivery phase, of the sources or batches of sources;</w:t>
      </w:r>
    </w:p>
    <w:p w14:paraId="289CEA38" w14:textId="77777777" w:rsidR="000D1378" w:rsidRDefault="00211C7E">
      <w:pPr>
        <w:pStyle w:val="ASNRPuceenretrait2"/>
      </w:pPr>
      <w:r>
        <w:rPr>
          <w:lang w:bidi="en-GB"/>
        </w:rPr>
        <w:t>the arrangements made to monitor the progress of the carriage, including the on-board communication means of vehicles;</w:t>
      </w:r>
    </w:p>
    <w:p w14:paraId="26D240B6" w14:textId="77777777" w:rsidR="000D1378" w:rsidRDefault="00211C7E">
      <w:pPr>
        <w:pStyle w:val="ASNRPuceenretrait2"/>
      </w:pPr>
      <w:r>
        <w:rPr>
          <w:lang w:bidi="en-GB"/>
        </w:rPr>
        <w:t>the nature of each barrier and the delays caused, including at crossing points;</w:t>
      </w:r>
    </w:p>
    <w:p w14:paraId="6B093BD7" w14:textId="77777777" w:rsidR="000D1378" w:rsidRDefault="00211C7E">
      <w:pPr>
        <w:pStyle w:val="ASNRPuceenretrait2"/>
      </w:pPr>
      <w:r>
        <w:rPr>
          <w:lang w:bidi="en-GB"/>
        </w:rPr>
        <w:t>the arrangements for checking that the barriers are in good condition;</w:t>
      </w:r>
    </w:p>
    <w:p w14:paraId="5C498A02" w14:textId="77777777" w:rsidR="000D1378" w:rsidRDefault="00211C7E">
      <w:pPr>
        <w:pStyle w:val="ASNRPuceenretrait2"/>
      </w:pPr>
      <w:r>
        <w:rPr>
          <w:lang w:bidi="en-GB"/>
        </w:rPr>
        <w:t>the provisions adopted to detect any damage or unauthorised crossing of a barrier.</w:t>
      </w:r>
    </w:p>
    <w:bookmarkStart w:id="0" w:name="_Hlk193102055"/>
    <w:permStart w:id="1462660458" w:edGrp="everyone"/>
    <w:p w14:paraId="0C4065F1" w14:textId="77777777" w:rsidR="000D1378" w:rsidRDefault="00796C6E">
      <w:pPr>
        <w:pStyle w:val="ASNRPourcasecocher1"/>
      </w:pPr>
      <w:sdt>
        <w:sdtPr>
          <w:rPr>
            <w:rFonts w:ascii="MS Gothic" w:eastAsia="MS Gothic" w:hAnsi="MS Gothic" w:hint="eastAsia"/>
          </w:rPr>
          <w:id w:val="-947766919"/>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1462660458"/>
        </w:sdtContent>
      </w:sdt>
      <w:r w:rsidR="00211C7E">
        <w:rPr>
          <w:b/>
          <w:lang w:bidi="en-GB"/>
        </w:rPr>
        <w:tab/>
        <w:t xml:space="preserve">A10 - </w:t>
      </w:r>
      <w:r w:rsidR="00211C7E">
        <w:rPr>
          <w:lang w:bidi="en-GB"/>
        </w:rPr>
        <w:t>A document describing the organisation set up to define, identify, store, transmit, archive and destroy sensitive information in order to ensure its protection, whether in paper or digital form (Art. 22).</w:t>
      </w:r>
    </w:p>
    <w:bookmarkEnd w:id="0"/>
    <w:permStart w:id="79051956" w:edGrp="everyone"/>
    <w:p w14:paraId="1D9381A8" w14:textId="77777777" w:rsidR="000D1378" w:rsidRDefault="00796C6E">
      <w:pPr>
        <w:pStyle w:val="ASNRPourcasecocher1"/>
      </w:pPr>
      <w:sdt>
        <w:sdtPr>
          <w:rPr>
            <w:rFonts w:ascii="MS Gothic" w:eastAsia="MS Gothic" w:hAnsi="MS Gothic" w:hint="eastAsia"/>
          </w:rPr>
          <w:id w:val="-934514347"/>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79051956"/>
        </w:sdtContent>
      </w:sdt>
      <w:r w:rsidR="00211C7E">
        <w:rPr>
          <w:b/>
          <w:lang w:bidi="en-GB"/>
        </w:rPr>
        <w:tab/>
        <w:t>A15 -</w:t>
      </w:r>
      <w:r w:rsidR="00211C7E">
        <w:rPr>
          <w:b/>
          <w:lang w:bidi="en-GB"/>
        </w:rPr>
        <w:tab/>
      </w:r>
      <w:r w:rsidR="00211C7E">
        <w:rPr>
          <w:lang w:bidi="en-GB"/>
        </w:rPr>
        <w:t>The enquiry form intended for the Specialised Command for Nuclear Security (CoSSeN) to enable administrative enquiries to be carried out into the person/entity responsible for the nuclear activity, or their representative, and the documents to be attached (form to be downloaded from the ASNR’s website).</w:t>
      </w:r>
    </w:p>
    <w:p w14:paraId="3EE1B8DD" w14:textId="77777777" w:rsidR="000D1378" w:rsidRDefault="00211C7E">
      <w:pPr>
        <w:pStyle w:val="ASNRTITRE1"/>
      </w:pPr>
      <w:r>
        <w:rPr>
          <w:lang w:bidi="en-GB"/>
        </w:rPr>
        <w:t>B. Application for the renewal or amendment of an authorisation</w:t>
      </w:r>
      <w:r>
        <w:rPr>
          <w:rStyle w:val="Appelnotedebasdep"/>
          <w:lang w:bidi="en-GB"/>
        </w:rPr>
        <w:footnoteReference w:id="3"/>
      </w:r>
    </w:p>
    <w:p w14:paraId="747DBDEA" w14:textId="77777777" w:rsidR="000D1378" w:rsidRDefault="000D1378"/>
    <w:p w14:paraId="16EBACBA" w14:textId="77777777" w:rsidR="000D1378" w:rsidRDefault="00211C7E">
      <w:pPr>
        <w:pStyle w:val="ASNRExergue1"/>
      </w:pPr>
      <w:r>
        <w:rPr>
          <w:lang w:bidi="en-GB"/>
        </w:rPr>
        <w:t>The applicant certifies that the supporting documents ticked below have already been sent to the ASNR, and remain unchanged since their last version:</w:t>
      </w:r>
    </w:p>
    <w:bookmarkStart w:id="1" w:name="_Hlk193103341"/>
    <w:permStart w:id="1485725944" w:edGrp="everyone"/>
    <w:p w14:paraId="6A4E12A4" w14:textId="77777777" w:rsidR="000D1378" w:rsidRDefault="00796C6E">
      <w:pPr>
        <w:tabs>
          <w:tab w:val="left" w:pos="1985"/>
          <w:tab w:val="left" w:pos="3402"/>
          <w:tab w:val="left" w:pos="4820"/>
          <w:tab w:val="left" w:pos="6237"/>
          <w:tab w:val="left" w:pos="7655"/>
        </w:tabs>
        <w:spacing w:before="60"/>
        <w:ind w:left="567"/>
        <w:rPr>
          <w:b/>
          <w:lang w:val="pt-PT"/>
        </w:rPr>
      </w:pPr>
      <w:sdt>
        <w:sdtPr>
          <w:rPr>
            <w:rFonts w:ascii="MS Gothic" w:eastAsia="MS Gothic" w:hAnsi="MS Gothic" w:hint="eastAsia"/>
            <w:lang w:val="pt-PT"/>
          </w:rPr>
          <w:id w:val="1364722139"/>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485725944"/>
        </w:sdtContent>
      </w:sdt>
      <w:r w:rsidR="00211C7E">
        <w:rPr>
          <w:b/>
          <w:lang w:val="pt-PT" w:bidi="en-GB"/>
        </w:rPr>
        <w:t xml:space="preserve"> A1</w:t>
      </w:r>
      <w:r w:rsidR="00211C7E">
        <w:rPr>
          <w:b/>
          <w:lang w:val="pt-PT" w:bidi="en-GB"/>
        </w:rPr>
        <w:tab/>
      </w:r>
      <w:permStart w:id="985992497" w:edGrp="everyone"/>
      <w:sdt>
        <w:sdtPr>
          <w:rPr>
            <w:rFonts w:ascii="MS Gothic" w:eastAsia="MS Gothic" w:hAnsi="MS Gothic" w:hint="eastAsia"/>
            <w:lang w:val="pt-PT"/>
          </w:rPr>
          <w:id w:val="-93921826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985992497"/>
        </w:sdtContent>
      </w:sdt>
      <w:r w:rsidR="00211C7E">
        <w:rPr>
          <w:b/>
          <w:lang w:val="pt-PT" w:bidi="en-GB"/>
        </w:rPr>
        <w:t xml:space="preserve"> A2</w:t>
      </w:r>
      <w:r w:rsidR="00211C7E">
        <w:rPr>
          <w:b/>
          <w:lang w:val="pt-PT" w:bidi="en-GB"/>
        </w:rPr>
        <w:tab/>
      </w:r>
      <w:permStart w:id="1267424564" w:edGrp="everyone"/>
      <w:sdt>
        <w:sdtPr>
          <w:rPr>
            <w:rFonts w:ascii="MS Gothic" w:eastAsia="MS Gothic" w:hAnsi="MS Gothic" w:hint="eastAsia"/>
            <w:lang w:val="pt-PT"/>
          </w:rPr>
          <w:id w:val="-479919894"/>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267424564"/>
        </w:sdtContent>
      </w:sdt>
      <w:r w:rsidR="00211C7E">
        <w:rPr>
          <w:b/>
          <w:lang w:val="pt-PT" w:bidi="en-GB"/>
        </w:rPr>
        <w:t xml:space="preserve"> A3</w:t>
      </w:r>
      <w:r w:rsidR="00211C7E">
        <w:rPr>
          <w:b/>
          <w:lang w:val="pt-PT" w:bidi="en-GB"/>
        </w:rPr>
        <w:tab/>
      </w:r>
      <w:permStart w:id="678780788" w:edGrp="everyone"/>
      <w:sdt>
        <w:sdtPr>
          <w:rPr>
            <w:rFonts w:ascii="MS Gothic" w:eastAsia="MS Gothic" w:hAnsi="MS Gothic" w:hint="eastAsia"/>
            <w:lang w:val="pt-PT"/>
          </w:rPr>
          <w:id w:val="124014314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678780788"/>
        </w:sdtContent>
      </w:sdt>
      <w:r w:rsidR="00211C7E">
        <w:rPr>
          <w:b/>
          <w:lang w:val="pt-PT" w:bidi="en-GB"/>
        </w:rPr>
        <w:t xml:space="preserve"> A4</w:t>
      </w:r>
      <w:r w:rsidR="00211C7E">
        <w:rPr>
          <w:b/>
          <w:lang w:val="pt-PT" w:bidi="en-GB"/>
        </w:rPr>
        <w:tab/>
      </w:r>
      <w:permStart w:id="2073119685" w:edGrp="everyone"/>
      <w:sdt>
        <w:sdtPr>
          <w:rPr>
            <w:rFonts w:ascii="MS Gothic" w:eastAsia="MS Gothic" w:hAnsi="MS Gothic" w:hint="eastAsia"/>
            <w:lang w:val="pt-PT"/>
          </w:rPr>
          <w:id w:val="-697857522"/>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2073119685"/>
        </w:sdtContent>
      </w:sdt>
      <w:r w:rsidR="00211C7E">
        <w:rPr>
          <w:b/>
          <w:lang w:val="pt-PT" w:bidi="en-GB"/>
        </w:rPr>
        <w:t xml:space="preserve"> A5</w:t>
      </w:r>
      <w:r w:rsidR="00211C7E">
        <w:rPr>
          <w:b/>
          <w:lang w:val="pt-PT" w:bidi="en-GB"/>
        </w:rPr>
        <w:tab/>
      </w:r>
      <w:permStart w:id="1402681199" w:edGrp="everyone"/>
      <w:sdt>
        <w:sdtPr>
          <w:rPr>
            <w:rFonts w:ascii="MS Gothic" w:eastAsia="MS Gothic" w:hAnsi="MS Gothic" w:hint="eastAsia"/>
            <w:lang w:val="pt-PT"/>
          </w:rPr>
          <w:id w:val="889925525"/>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402681199"/>
        </w:sdtContent>
      </w:sdt>
      <w:r w:rsidR="00211C7E">
        <w:rPr>
          <w:b/>
          <w:lang w:val="pt-PT" w:bidi="en-GB"/>
        </w:rPr>
        <w:t xml:space="preserve"> A6</w:t>
      </w:r>
    </w:p>
    <w:permStart w:id="1275997191" w:edGrp="everyone"/>
    <w:p w14:paraId="502E0AD3" w14:textId="77777777" w:rsidR="000D1378" w:rsidRDefault="00796C6E">
      <w:pPr>
        <w:tabs>
          <w:tab w:val="left" w:pos="1985"/>
          <w:tab w:val="left" w:pos="3402"/>
          <w:tab w:val="left" w:pos="4820"/>
          <w:tab w:val="left" w:pos="6237"/>
          <w:tab w:val="left" w:pos="7655"/>
        </w:tabs>
        <w:spacing w:before="60"/>
        <w:ind w:left="567"/>
        <w:rPr>
          <w:b/>
          <w:lang w:val="pt-PT"/>
        </w:rPr>
      </w:pPr>
      <w:sdt>
        <w:sdtPr>
          <w:rPr>
            <w:rFonts w:ascii="MS Gothic" w:eastAsia="MS Gothic" w:hAnsi="MS Gothic" w:hint="eastAsia"/>
            <w:lang w:val="pt-PT"/>
          </w:rPr>
          <w:id w:val="1912506452"/>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275997191"/>
        </w:sdtContent>
      </w:sdt>
      <w:r w:rsidR="00211C7E">
        <w:rPr>
          <w:b/>
          <w:lang w:val="pt-PT" w:bidi="en-GB"/>
        </w:rPr>
        <w:t xml:space="preserve"> A7</w:t>
      </w:r>
      <w:r w:rsidR="00211C7E">
        <w:rPr>
          <w:b/>
          <w:lang w:val="pt-PT" w:bidi="en-GB"/>
        </w:rPr>
        <w:tab/>
      </w:r>
      <w:permStart w:id="1798858501" w:edGrp="everyone"/>
      <w:sdt>
        <w:sdtPr>
          <w:rPr>
            <w:rFonts w:ascii="MS Gothic" w:eastAsia="MS Gothic" w:hAnsi="MS Gothic" w:hint="eastAsia"/>
            <w:lang w:val="pt-PT"/>
          </w:rPr>
          <w:id w:val="-190926570"/>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798858501"/>
        </w:sdtContent>
      </w:sdt>
      <w:r w:rsidR="00211C7E">
        <w:rPr>
          <w:b/>
          <w:lang w:val="pt-PT" w:bidi="en-GB"/>
        </w:rPr>
        <w:t xml:space="preserve"> A8</w:t>
      </w:r>
      <w:r w:rsidR="00211C7E">
        <w:rPr>
          <w:b/>
          <w:lang w:val="pt-PT" w:bidi="en-GB"/>
        </w:rPr>
        <w:tab/>
      </w:r>
      <w:permStart w:id="1035731442" w:edGrp="everyone"/>
      <w:sdt>
        <w:sdtPr>
          <w:rPr>
            <w:rFonts w:ascii="MS Gothic" w:eastAsia="MS Gothic" w:hAnsi="MS Gothic" w:hint="eastAsia"/>
            <w:lang w:val="pt-PT"/>
          </w:rPr>
          <w:id w:val="107331861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035731442"/>
        </w:sdtContent>
      </w:sdt>
      <w:r w:rsidR="00211C7E">
        <w:rPr>
          <w:b/>
          <w:lang w:val="pt-PT" w:bidi="en-GB"/>
        </w:rPr>
        <w:t xml:space="preserve"> A9 2</w:t>
      </w:r>
      <w:r w:rsidR="00211C7E">
        <w:rPr>
          <w:b/>
          <w:lang w:val="pt-PT" w:bidi="en-GB"/>
        </w:rPr>
        <w:tab/>
      </w:r>
      <w:permStart w:id="1744900589" w:edGrp="everyone"/>
      <w:sdt>
        <w:sdtPr>
          <w:rPr>
            <w:rFonts w:ascii="MS Gothic" w:eastAsia="MS Gothic" w:hAnsi="MS Gothic" w:hint="eastAsia"/>
            <w:lang w:val="pt-PT"/>
          </w:rPr>
          <w:id w:val="562295394"/>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744900589"/>
        </w:sdtContent>
      </w:sdt>
      <w:r w:rsidR="00211C7E">
        <w:rPr>
          <w:b/>
          <w:lang w:val="pt-PT" w:bidi="en-GB"/>
        </w:rPr>
        <w:t xml:space="preserve"> A9 3</w:t>
      </w:r>
      <w:r w:rsidR="00211C7E">
        <w:rPr>
          <w:b/>
          <w:lang w:val="pt-PT" w:bidi="en-GB"/>
        </w:rPr>
        <w:tab/>
      </w:r>
      <w:permStart w:id="1032596647" w:edGrp="everyone"/>
      <w:sdt>
        <w:sdtPr>
          <w:rPr>
            <w:rFonts w:ascii="MS Gothic" w:eastAsia="MS Gothic" w:hAnsi="MS Gothic" w:hint="eastAsia"/>
            <w:lang w:val="pt-PT"/>
          </w:rPr>
          <w:id w:val="1380972039"/>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032596647"/>
        </w:sdtContent>
      </w:sdt>
      <w:r w:rsidR="00211C7E">
        <w:rPr>
          <w:b/>
          <w:lang w:val="pt-PT" w:bidi="en-GB"/>
        </w:rPr>
        <w:t xml:space="preserve"> A10</w:t>
      </w:r>
      <w:r w:rsidR="00211C7E">
        <w:rPr>
          <w:b/>
          <w:lang w:val="pt-PT" w:bidi="en-GB"/>
        </w:rPr>
        <w:tab/>
      </w:r>
      <w:permStart w:id="1892705379" w:edGrp="everyone"/>
      <w:sdt>
        <w:sdtPr>
          <w:rPr>
            <w:rFonts w:ascii="MS Gothic" w:eastAsia="MS Gothic" w:hAnsi="MS Gothic" w:hint="eastAsia"/>
            <w:lang w:val="pt-PT"/>
          </w:rPr>
          <w:id w:val="159705569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892705379"/>
        </w:sdtContent>
      </w:sdt>
      <w:r w:rsidR="00211C7E">
        <w:rPr>
          <w:b/>
          <w:lang w:val="pt-PT" w:bidi="en-GB"/>
        </w:rPr>
        <w:t xml:space="preserve"> A15</w:t>
      </w:r>
    </w:p>
    <w:bookmarkEnd w:id="1"/>
    <w:p w14:paraId="1162140D" w14:textId="77777777" w:rsidR="000D1378" w:rsidRDefault="00211C7E">
      <w:pPr>
        <w:pStyle w:val="ASNRSereporter"/>
        <w:spacing w:before="120"/>
        <w:ind w:left="284"/>
      </w:pPr>
      <w:r>
        <w:rPr>
          <w:lang w:bidi="en-GB"/>
        </w:rPr>
        <w:t>However, document A15 must be provided together with the documents to be attached to it, if the previous enquiry was carried out more than eighteen months ago.</w:t>
      </w:r>
    </w:p>
    <w:p w14:paraId="7AA7F090" w14:textId="77777777" w:rsidR="000D1378" w:rsidRDefault="00211C7E">
      <w:pPr>
        <w:pStyle w:val="ASNRExergue1"/>
        <w:spacing w:before="240"/>
      </w:pPr>
      <w:r>
        <w:rPr>
          <w:lang w:bidi="en-GB"/>
        </w:rPr>
        <w:t>You must attach to this form the supporting documents below if they have been modified in comparison to those already in the possession of the ASNR, and tick the corresponding boxes:</w:t>
      </w:r>
    </w:p>
    <w:permStart w:id="128525410" w:edGrp="everyone"/>
    <w:p w14:paraId="17C4CD36" w14:textId="77777777" w:rsidR="000D1378" w:rsidRDefault="00796C6E">
      <w:pPr>
        <w:tabs>
          <w:tab w:val="left" w:pos="1985"/>
          <w:tab w:val="left" w:pos="3402"/>
          <w:tab w:val="left" w:pos="4820"/>
          <w:tab w:val="left" w:pos="6237"/>
          <w:tab w:val="left" w:pos="7655"/>
        </w:tabs>
        <w:spacing w:before="60"/>
        <w:ind w:left="567"/>
        <w:rPr>
          <w:b/>
          <w:lang w:val="pt-PT"/>
        </w:rPr>
      </w:pPr>
      <w:sdt>
        <w:sdtPr>
          <w:rPr>
            <w:rFonts w:ascii="MS Gothic" w:eastAsia="MS Gothic" w:hAnsi="MS Gothic" w:hint="eastAsia"/>
            <w:lang w:val="pt-PT"/>
          </w:rPr>
          <w:id w:val="103285252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28525410"/>
        </w:sdtContent>
      </w:sdt>
      <w:r w:rsidR="00211C7E">
        <w:rPr>
          <w:b/>
          <w:lang w:val="pt-PT" w:bidi="en-GB"/>
        </w:rPr>
        <w:t xml:space="preserve"> A1</w:t>
      </w:r>
      <w:r w:rsidR="00211C7E">
        <w:rPr>
          <w:b/>
          <w:lang w:val="pt-PT" w:bidi="en-GB"/>
        </w:rPr>
        <w:tab/>
      </w:r>
      <w:permStart w:id="47978343" w:edGrp="everyone"/>
      <w:sdt>
        <w:sdtPr>
          <w:rPr>
            <w:rFonts w:ascii="MS Gothic" w:eastAsia="MS Gothic" w:hAnsi="MS Gothic" w:hint="eastAsia"/>
            <w:lang w:val="pt-PT"/>
          </w:rPr>
          <w:id w:val="1836641764"/>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47978343"/>
        </w:sdtContent>
      </w:sdt>
      <w:r w:rsidR="00211C7E">
        <w:rPr>
          <w:b/>
          <w:lang w:val="pt-PT" w:bidi="en-GB"/>
        </w:rPr>
        <w:t xml:space="preserve"> A2</w:t>
      </w:r>
      <w:r w:rsidR="00211C7E">
        <w:rPr>
          <w:b/>
          <w:lang w:val="pt-PT" w:bidi="en-GB"/>
        </w:rPr>
        <w:tab/>
      </w:r>
      <w:permStart w:id="1915967192" w:edGrp="everyone"/>
      <w:sdt>
        <w:sdtPr>
          <w:rPr>
            <w:rFonts w:ascii="MS Gothic" w:eastAsia="MS Gothic" w:hAnsi="MS Gothic" w:hint="eastAsia"/>
            <w:lang w:val="pt-PT"/>
          </w:rPr>
          <w:id w:val="-1632936699"/>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915967192"/>
        </w:sdtContent>
      </w:sdt>
      <w:r w:rsidR="00211C7E">
        <w:rPr>
          <w:b/>
          <w:lang w:val="pt-PT" w:bidi="en-GB"/>
        </w:rPr>
        <w:t xml:space="preserve"> A3</w:t>
      </w:r>
      <w:r w:rsidR="00211C7E">
        <w:rPr>
          <w:b/>
          <w:lang w:val="pt-PT" w:bidi="en-GB"/>
        </w:rPr>
        <w:tab/>
      </w:r>
      <w:permStart w:id="402025726" w:edGrp="everyone"/>
      <w:sdt>
        <w:sdtPr>
          <w:rPr>
            <w:rFonts w:ascii="MS Gothic" w:eastAsia="MS Gothic" w:hAnsi="MS Gothic" w:hint="eastAsia"/>
            <w:lang w:val="pt-PT"/>
          </w:rPr>
          <w:id w:val="-760990336"/>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402025726"/>
        </w:sdtContent>
      </w:sdt>
      <w:r w:rsidR="00211C7E">
        <w:rPr>
          <w:b/>
          <w:lang w:val="pt-PT" w:bidi="en-GB"/>
        </w:rPr>
        <w:t xml:space="preserve"> A4</w:t>
      </w:r>
      <w:r w:rsidR="00211C7E">
        <w:rPr>
          <w:b/>
          <w:lang w:val="pt-PT" w:bidi="en-GB"/>
        </w:rPr>
        <w:tab/>
      </w:r>
      <w:permStart w:id="2090432452" w:edGrp="everyone"/>
      <w:sdt>
        <w:sdtPr>
          <w:rPr>
            <w:rFonts w:ascii="MS Gothic" w:eastAsia="MS Gothic" w:hAnsi="MS Gothic" w:hint="eastAsia"/>
            <w:lang w:val="pt-PT"/>
          </w:rPr>
          <w:id w:val="-1256818862"/>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2090432452"/>
        </w:sdtContent>
      </w:sdt>
      <w:r w:rsidR="00211C7E">
        <w:rPr>
          <w:b/>
          <w:lang w:val="pt-PT" w:bidi="en-GB"/>
        </w:rPr>
        <w:t xml:space="preserve"> A5</w:t>
      </w:r>
      <w:r w:rsidR="00211C7E">
        <w:rPr>
          <w:b/>
          <w:lang w:val="pt-PT" w:bidi="en-GB"/>
        </w:rPr>
        <w:tab/>
      </w:r>
      <w:permStart w:id="1133795428" w:edGrp="everyone"/>
      <w:sdt>
        <w:sdtPr>
          <w:rPr>
            <w:rFonts w:ascii="MS Gothic" w:eastAsia="MS Gothic" w:hAnsi="MS Gothic" w:hint="eastAsia"/>
            <w:lang w:val="pt-PT"/>
          </w:rPr>
          <w:id w:val="-65715256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133795428"/>
        </w:sdtContent>
      </w:sdt>
      <w:r w:rsidR="00211C7E">
        <w:rPr>
          <w:b/>
          <w:lang w:val="pt-PT" w:bidi="en-GB"/>
        </w:rPr>
        <w:t xml:space="preserve"> A6</w:t>
      </w:r>
    </w:p>
    <w:permStart w:id="319502526" w:edGrp="everyone"/>
    <w:p w14:paraId="74013EB2" w14:textId="77777777" w:rsidR="000D1378" w:rsidRDefault="00796C6E">
      <w:pPr>
        <w:tabs>
          <w:tab w:val="left" w:pos="1985"/>
          <w:tab w:val="left" w:pos="3402"/>
          <w:tab w:val="left" w:pos="4820"/>
          <w:tab w:val="left" w:pos="6237"/>
          <w:tab w:val="left" w:pos="7655"/>
        </w:tabs>
        <w:spacing w:before="60"/>
        <w:ind w:left="567"/>
        <w:rPr>
          <w:b/>
          <w:lang w:val="pt-PT"/>
        </w:rPr>
      </w:pPr>
      <w:sdt>
        <w:sdtPr>
          <w:rPr>
            <w:rFonts w:ascii="MS Gothic" w:eastAsia="MS Gothic" w:hAnsi="MS Gothic" w:hint="eastAsia"/>
            <w:lang w:val="pt-PT"/>
          </w:rPr>
          <w:id w:val="20716232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319502526"/>
        </w:sdtContent>
      </w:sdt>
      <w:r w:rsidR="00211C7E">
        <w:rPr>
          <w:b/>
          <w:lang w:val="pt-PT" w:bidi="en-GB"/>
        </w:rPr>
        <w:t xml:space="preserve"> A7</w:t>
      </w:r>
      <w:r w:rsidR="00211C7E">
        <w:rPr>
          <w:b/>
          <w:lang w:val="pt-PT" w:bidi="en-GB"/>
        </w:rPr>
        <w:tab/>
      </w:r>
      <w:permStart w:id="1483688676" w:edGrp="everyone"/>
      <w:sdt>
        <w:sdtPr>
          <w:rPr>
            <w:rFonts w:ascii="MS Gothic" w:eastAsia="MS Gothic" w:hAnsi="MS Gothic" w:hint="eastAsia"/>
            <w:lang w:val="pt-PT"/>
          </w:rPr>
          <w:id w:val="-243498207"/>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483688676"/>
        </w:sdtContent>
      </w:sdt>
      <w:r w:rsidR="00211C7E">
        <w:rPr>
          <w:b/>
          <w:lang w:val="pt-PT" w:bidi="en-GB"/>
        </w:rPr>
        <w:t xml:space="preserve"> A8</w:t>
      </w:r>
      <w:r w:rsidR="00211C7E">
        <w:rPr>
          <w:b/>
          <w:lang w:val="pt-PT" w:bidi="en-GB"/>
        </w:rPr>
        <w:tab/>
      </w:r>
      <w:permStart w:id="437999835" w:edGrp="everyone"/>
      <w:sdt>
        <w:sdtPr>
          <w:rPr>
            <w:rFonts w:ascii="MS Gothic" w:eastAsia="MS Gothic" w:hAnsi="MS Gothic" w:hint="eastAsia"/>
            <w:lang w:val="pt-PT"/>
          </w:rPr>
          <w:id w:val="-611748368"/>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437999835"/>
        </w:sdtContent>
      </w:sdt>
      <w:r w:rsidR="00211C7E">
        <w:rPr>
          <w:b/>
          <w:lang w:val="pt-PT" w:bidi="en-GB"/>
        </w:rPr>
        <w:t xml:space="preserve"> A9 2</w:t>
      </w:r>
      <w:r w:rsidR="00211C7E">
        <w:rPr>
          <w:b/>
          <w:lang w:val="pt-PT" w:bidi="en-GB"/>
        </w:rPr>
        <w:tab/>
      </w:r>
      <w:permStart w:id="1659585445" w:edGrp="everyone"/>
      <w:sdt>
        <w:sdtPr>
          <w:rPr>
            <w:rFonts w:ascii="MS Gothic" w:eastAsia="MS Gothic" w:hAnsi="MS Gothic" w:hint="eastAsia"/>
            <w:lang w:val="pt-PT"/>
          </w:rPr>
          <w:id w:val="-933131671"/>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659585445"/>
        </w:sdtContent>
      </w:sdt>
      <w:r w:rsidR="00211C7E">
        <w:rPr>
          <w:b/>
          <w:lang w:val="pt-PT" w:bidi="en-GB"/>
        </w:rPr>
        <w:t xml:space="preserve"> A9 3</w:t>
      </w:r>
      <w:r w:rsidR="00211C7E">
        <w:rPr>
          <w:b/>
          <w:lang w:val="pt-PT" w:bidi="en-GB"/>
        </w:rPr>
        <w:tab/>
      </w:r>
      <w:permStart w:id="641473041" w:edGrp="everyone"/>
      <w:sdt>
        <w:sdtPr>
          <w:rPr>
            <w:rFonts w:ascii="MS Gothic" w:eastAsia="MS Gothic" w:hAnsi="MS Gothic" w:hint="eastAsia"/>
            <w:lang w:val="pt-PT"/>
          </w:rPr>
          <w:id w:val="806360334"/>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641473041"/>
        </w:sdtContent>
      </w:sdt>
      <w:r w:rsidR="00211C7E">
        <w:rPr>
          <w:b/>
          <w:lang w:val="pt-PT" w:bidi="en-GB"/>
        </w:rPr>
        <w:t xml:space="preserve"> A10</w:t>
      </w:r>
      <w:r w:rsidR="00211C7E">
        <w:rPr>
          <w:b/>
          <w:lang w:val="pt-PT" w:bidi="en-GB"/>
        </w:rPr>
        <w:tab/>
      </w:r>
      <w:permStart w:id="1874490902" w:edGrp="everyone"/>
      <w:sdt>
        <w:sdtPr>
          <w:rPr>
            <w:rFonts w:ascii="MS Gothic" w:eastAsia="MS Gothic" w:hAnsi="MS Gothic" w:hint="eastAsia"/>
            <w:lang w:val="pt-PT"/>
          </w:rPr>
          <w:id w:val="57680013"/>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val="pt-PT" w:bidi="en-GB"/>
            </w:rPr>
            <w:t>☐</w:t>
          </w:r>
          <w:permEnd w:id="1874490902"/>
        </w:sdtContent>
      </w:sdt>
      <w:r w:rsidR="00211C7E">
        <w:rPr>
          <w:b/>
          <w:lang w:val="pt-PT" w:bidi="en-GB"/>
        </w:rPr>
        <w:t xml:space="preserve"> A15</w:t>
      </w:r>
    </w:p>
    <w:p w14:paraId="6ECF27B3" w14:textId="77777777" w:rsidR="000D1378" w:rsidRDefault="00211C7E">
      <w:pPr>
        <w:pStyle w:val="ASNRExergue1"/>
        <w:spacing w:before="240"/>
      </w:pPr>
      <w:r>
        <w:rPr>
          <w:lang w:bidi="en-GB"/>
        </w:rPr>
        <w:t>You must also enclose the following additional documents with your application:</w:t>
      </w:r>
    </w:p>
    <w:permStart w:id="986280558" w:edGrp="everyone"/>
    <w:p w14:paraId="1C32F3BE" w14:textId="77777777" w:rsidR="000D1378" w:rsidRDefault="00796C6E">
      <w:pPr>
        <w:pStyle w:val="ASNRPourcasecocher1"/>
      </w:pPr>
      <w:sdt>
        <w:sdtPr>
          <w:rPr>
            <w:rFonts w:ascii="MS Gothic" w:eastAsia="MS Gothic" w:hAnsi="MS Gothic" w:hint="eastAsia"/>
            <w:lang w:val="en-US"/>
          </w:rPr>
          <w:id w:val="109486057"/>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986280558"/>
        </w:sdtContent>
      </w:sdt>
      <w:r w:rsidR="00211C7E">
        <w:rPr>
          <w:b/>
          <w:lang w:bidi="en-GB"/>
        </w:rPr>
        <w:tab/>
        <w:t>B2 -</w:t>
      </w:r>
      <w:r w:rsidR="00211C7E">
        <w:rPr>
          <w:b/>
          <w:lang w:bidi="en-GB"/>
        </w:rPr>
        <w:tab/>
      </w:r>
      <w:r w:rsidR="00211C7E">
        <w:rPr>
          <w:lang w:bidi="en-GB"/>
        </w:rPr>
        <w:t>A statement of any malicious events that have occurred in the past three years, and any lessons learned (Art. 17).</w:t>
      </w:r>
    </w:p>
    <w:bookmarkStart w:id="2" w:name="_Hlk171089172"/>
    <w:permStart w:id="464613604" w:edGrp="everyone"/>
    <w:p w14:paraId="69BD8149" w14:textId="77777777" w:rsidR="000D1378" w:rsidRDefault="00796C6E">
      <w:pPr>
        <w:pStyle w:val="ASNRPourcasecocher1"/>
      </w:pPr>
      <w:sdt>
        <w:sdtPr>
          <w:rPr>
            <w:rFonts w:ascii="MS Gothic" w:eastAsia="MS Gothic" w:hAnsi="MS Gothic" w:hint="eastAsia"/>
          </w:rPr>
          <w:id w:val="-1409071897"/>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464613604"/>
        </w:sdtContent>
      </w:sdt>
      <w:r w:rsidR="00211C7E">
        <w:rPr>
          <w:b/>
          <w:lang w:bidi="en-GB"/>
        </w:rPr>
        <w:tab/>
        <w:t>B3 -</w:t>
      </w:r>
      <w:r w:rsidR="00211C7E">
        <w:rPr>
          <w:b/>
          <w:lang w:bidi="en-GB"/>
        </w:rPr>
        <w:tab/>
      </w:r>
      <w:r w:rsidR="00211C7E">
        <w:rPr>
          <w:lang w:bidi="en-GB"/>
        </w:rPr>
        <w:t>A report of the most recent exercise carried out to test the effectiveness of the malicious events management plan (Art. 21).</w:t>
      </w:r>
      <w:bookmarkEnd w:id="2"/>
    </w:p>
    <w:p w14:paraId="2615AF61" w14:textId="77777777" w:rsidR="000D1378" w:rsidRDefault="000D1378"/>
    <w:p w14:paraId="28F5D842" w14:textId="77777777" w:rsidR="000D1378" w:rsidRDefault="00211C7E">
      <w:pPr>
        <w:pStyle w:val="ASNRTITRE1"/>
      </w:pPr>
      <w:r>
        <w:rPr>
          <w:lang w:bidi="en-GB"/>
        </w:rPr>
        <w:lastRenderedPageBreak/>
        <w:t>C. Signature</w:t>
      </w:r>
    </w:p>
    <w:permStart w:id="590023277" w:edGrp="everyone"/>
    <w:p w14:paraId="7A762268" w14:textId="77777777" w:rsidR="000D1378" w:rsidRDefault="00796C6E">
      <w:pPr>
        <w:pStyle w:val="ASNRPourcasecocher1"/>
        <w:tabs>
          <w:tab w:val="clear" w:pos="284"/>
        </w:tabs>
        <w:spacing w:after="60"/>
        <w:ind w:left="284" w:hanging="284"/>
      </w:pPr>
      <w:sdt>
        <w:sdtPr>
          <w:rPr>
            <w:rFonts w:ascii="MS Gothic" w:eastAsia="MS Gothic" w:hAnsi="MS Gothic" w:hint="eastAsia"/>
          </w:rPr>
          <w:id w:val="-664703268"/>
          <w15:appearance w15:val="hidden"/>
          <w14:checkbox>
            <w14:checked w14:val="0"/>
            <w14:checkedState w14:val="2612" w14:font="MS Gothic"/>
            <w14:uncheckedState w14:val="2610" w14:font="MS Gothic"/>
          </w14:checkbox>
        </w:sdtPr>
        <w:sdtEndPr/>
        <w:sdtContent>
          <w:r w:rsidR="00211C7E">
            <w:rPr>
              <w:rFonts w:ascii="MS Gothic" w:eastAsia="MS Gothic" w:hAnsi="MS Gothic" w:cs="MS Gothic" w:hint="eastAsia"/>
              <w:lang w:bidi="en-GB"/>
            </w:rPr>
            <w:t>☐</w:t>
          </w:r>
          <w:permEnd w:id="590023277"/>
        </w:sdtContent>
      </w:sdt>
      <w:r w:rsidR="00211C7E">
        <w:rPr>
          <w:lang w:bidi="en-GB"/>
        </w:rPr>
        <w:tab/>
        <w:t>By ticking this box, the applicant certifies that it is aware of the content of the amended Order of 29 November 2019 on the protection of ionising radiation sources and batches of radioactive sources in categories A, B, C and D against malicious acts, including the annex(es) to this Order that apply to the sources or batches of sources that are the subject of this application. Article 27 of this order sets out the arrangements for obtaining these annexes.</w:t>
      </w:r>
    </w:p>
    <w:p w14:paraId="2112E618" w14:textId="77777777" w:rsidR="000D1378" w:rsidRDefault="000D1378"/>
    <w:p w14:paraId="6D11F95D" w14:textId="77777777" w:rsidR="000D1378" w:rsidRDefault="000D1378"/>
    <w:p w14:paraId="65984C09" w14:textId="77777777" w:rsidR="000D1378" w:rsidRDefault="00211C7E">
      <w:pPr>
        <w:jc w:val="center"/>
        <w:rPr>
          <w:b/>
          <w:bCs/>
        </w:rPr>
      </w:pPr>
      <w:r>
        <w:rPr>
          <w:b/>
          <w:lang w:bidi="en-GB"/>
        </w:rPr>
        <w:t>The applicant,</w:t>
      </w:r>
    </w:p>
    <w:p w14:paraId="1EA9DACD" w14:textId="77777777" w:rsidR="000D1378" w:rsidRDefault="00211C7E">
      <w:pPr>
        <w:jc w:val="center"/>
      </w:pPr>
      <w:r>
        <w:rPr>
          <w:lang w:bidi="en-GB"/>
        </w:rPr>
        <w:t>representing the legal entity or natural person,</w:t>
      </w:r>
    </w:p>
    <w:p w14:paraId="753BA2AA" w14:textId="77777777" w:rsidR="000D1378" w:rsidRDefault="00211C7E">
      <w:pPr>
        <w:jc w:val="center"/>
        <w:rPr>
          <w:i/>
          <w:iCs/>
          <w:sz w:val="16"/>
          <w:szCs w:val="16"/>
        </w:rPr>
      </w:pPr>
      <w:r>
        <w:rPr>
          <w:i/>
          <w:sz w:val="16"/>
          <w:szCs w:val="16"/>
          <w:lang w:bidi="en-GB"/>
        </w:rPr>
        <w:t>(Date, last name, first name, signature)</w:t>
      </w:r>
    </w:p>
    <w:p w14:paraId="0BDC5CCE" w14:textId="77777777" w:rsidR="000D1378" w:rsidRDefault="000D1378">
      <w:pPr>
        <w:jc w:val="center"/>
      </w:pPr>
    </w:p>
    <w:p w14:paraId="1FE106DB" w14:textId="77777777" w:rsidR="000D1378" w:rsidRDefault="000D1378"/>
    <w:p w14:paraId="16D0C5FE" w14:textId="77777777" w:rsidR="000D1378" w:rsidRDefault="000D1378"/>
    <w:p w14:paraId="62487138" w14:textId="77777777" w:rsidR="000D1378" w:rsidRDefault="000D1378"/>
    <w:p w14:paraId="102C6A48" w14:textId="77777777" w:rsidR="000D1378" w:rsidRDefault="000D1378"/>
    <w:p w14:paraId="12F60614" w14:textId="77777777" w:rsidR="000D1378" w:rsidRDefault="000D1378"/>
    <w:p w14:paraId="0353F068" w14:textId="77777777" w:rsidR="000D1378" w:rsidRDefault="000D1378"/>
    <w:p w14:paraId="463A6FAB" w14:textId="77777777" w:rsidR="000D1378" w:rsidRDefault="000D1378"/>
    <w:p w14:paraId="4ADABB34" w14:textId="77777777" w:rsidR="000D1378" w:rsidRDefault="000D1378"/>
    <w:p w14:paraId="444CA0B1" w14:textId="77777777" w:rsidR="000D1378" w:rsidRDefault="000D1378"/>
    <w:p w14:paraId="4ABD883B" w14:textId="77777777" w:rsidR="000D1378" w:rsidRDefault="000D1378"/>
    <w:p w14:paraId="642028C8" w14:textId="77777777" w:rsidR="000D1378" w:rsidRDefault="000D1378"/>
    <w:p w14:paraId="40C96955" w14:textId="77777777" w:rsidR="000D1378" w:rsidRDefault="000D1378"/>
    <w:p w14:paraId="09DAB235" w14:textId="77777777" w:rsidR="000D1378" w:rsidRDefault="000D1378"/>
    <w:p w14:paraId="25F343F1" w14:textId="77777777" w:rsidR="000D1378" w:rsidRDefault="000D1378"/>
    <w:p w14:paraId="0082403C" w14:textId="77777777" w:rsidR="000D1378" w:rsidRDefault="000D1378"/>
    <w:p w14:paraId="1FE6DC72" w14:textId="77777777" w:rsidR="000D1378" w:rsidRDefault="00211C7E">
      <w:pPr>
        <w:pStyle w:val="ASNRIntroduction"/>
      </w:pPr>
      <w:r>
        <w:rPr>
          <w:lang w:bidi="en-GB"/>
        </w:rPr>
        <w:t xml:space="preserve">This form, together with the associated supporting documents, must be sent to the appropriate (geographically competent) territorial division of the French Authority for Nuclear Safety and Radiation Protection. Their contact details are available at </w:t>
      </w:r>
      <w:hyperlink r:id="rId16" w:history="1">
        <w:r>
          <w:rPr>
            <w:rStyle w:val="Lienhypertexte"/>
            <w:lang w:bidi="en-GB"/>
          </w:rPr>
          <w:t>www.ASNR.fr.</w:t>
        </w:r>
      </w:hyperlink>
      <w:r>
        <w:rPr>
          <w:lang w:bidi="en-GB"/>
        </w:rPr>
        <w:t xml:space="preserve"> An acknowledgement of receipt will be sent to you by email as soon as your application has been received. If you do not receive this acknowledgement, please contact the relevant territorial division of the ASNR.</w:t>
      </w:r>
    </w:p>
    <w:p w14:paraId="76A3C00D" w14:textId="77777777" w:rsidR="000D1378" w:rsidRDefault="00211C7E">
      <w:pPr>
        <w:pStyle w:val="ASNRNote"/>
        <w:spacing w:after="0"/>
      </w:pPr>
      <w:r>
        <w:rPr>
          <w:lang w:bidi="en-GB"/>
        </w:rPr>
        <w:t>The information collected is subject to electronic processing for the purpose of processing your application. In accordance with the French Data Protection Act of 6 January 1978, as amended, you have the right to access and rectify any information held about you. You can exercise this right by contacting the French Authority for Nuclear Safety and Radiation Protection.</w:t>
      </w:r>
    </w:p>
    <w:p w14:paraId="030BB8BC" w14:textId="77777777" w:rsidR="000D1378" w:rsidRDefault="000D1378"/>
    <w:sectPr w:rsidR="000D1378">
      <w:type w:val="continuous"/>
      <w:pgSz w:w="11906" w:h="16838" w:code="9"/>
      <w:pgMar w:top="1418" w:right="992" w:bottom="1134" w:left="992"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1F8D" w14:textId="77777777" w:rsidR="00796C6E" w:rsidRDefault="00796C6E">
      <w:r>
        <w:separator/>
      </w:r>
    </w:p>
  </w:endnote>
  <w:endnote w:type="continuationSeparator" w:id="0">
    <w:p w14:paraId="765A19AD" w14:textId="77777777" w:rsidR="00796C6E" w:rsidRDefault="0079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Cn B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9356"/>
      <w:gridCol w:w="556"/>
    </w:tblGrid>
    <w:tr w:rsidR="000D1378" w14:paraId="6BE3BF9A" w14:textId="77777777">
      <w:tc>
        <w:tcPr>
          <w:tcW w:w="9356" w:type="dxa"/>
        </w:tcPr>
        <w:p w14:paraId="54FFC423" w14:textId="77777777" w:rsidR="000D1378" w:rsidRDefault="00211C7E">
          <w:pPr>
            <w:pStyle w:val="Pieddepage"/>
          </w:pPr>
          <w:r>
            <w:rPr>
              <w:lang w:bidi="en-GB"/>
            </w:rPr>
            <w:t>June 2025</w:t>
          </w:r>
        </w:p>
      </w:tc>
      <w:tc>
        <w:tcPr>
          <w:tcW w:w="556" w:type="dxa"/>
        </w:tcPr>
        <w:p w14:paraId="7314468F" w14:textId="77777777" w:rsidR="000D1378" w:rsidRDefault="00211C7E">
          <w:pPr>
            <w:pStyle w:val="Pieddepage"/>
            <w:jc w:val="right"/>
          </w:pPr>
          <w:r>
            <w:rPr>
              <w:rStyle w:val="Numrodepage"/>
              <w:lang w:bidi="en-GB"/>
            </w:rPr>
            <w:fldChar w:fldCharType="begin"/>
          </w:r>
          <w:r>
            <w:rPr>
              <w:rStyle w:val="Numrodepage"/>
              <w:lang w:bidi="en-GB"/>
            </w:rPr>
            <w:instrText xml:space="preserve"> PAGE </w:instrText>
          </w:r>
          <w:r>
            <w:rPr>
              <w:rStyle w:val="Numrodepage"/>
              <w:lang w:bidi="en-GB"/>
            </w:rPr>
            <w:fldChar w:fldCharType="separate"/>
          </w:r>
          <w:r>
            <w:rPr>
              <w:rStyle w:val="Numrodepage"/>
              <w:lang w:bidi="en-GB"/>
            </w:rPr>
            <w:t>1</w:t>
          </w:r>
          <w:r>
            <w:rPr>
              <w:rStyle w:val="Numrodepage"/>
              <w:lang w:bidi="en-GB"/>
            </w:rPr>
            <w:fldChar w:fldCharType="end"/>
          </w:r>
          <w:r>
            <w:rPr>
              <w:rStyle w:val="Numrodepage"/>
              <w:lang w:bidi="en-GB"/>
            </w:rPr>
            <w:t>/</w:t>
          </w:r>
          <w:r>
            <w:rPr>
              <w:rStyle w:val="Numrodepage"/>
              <w:lang w:bidi="en-GB"/>
            </w:rPr>
            <w:fldChar w:fldCharType="begin"/>
          </w:r>
          <w:r>
            <w:rPr>
              <w:rStyle w:val="Numrodepage"/>
              <w:lang w:bidi="en-GB"/>
            </w:rPr>
            <w:instrText xml:space="preserve"> NUMPAGES   \* MERGEFORMAT </w:instrText>
          </w:r>
          <w:r>
            <w:rPr>
              <w:rStyle w:val="Numrodepage"/>
              <w:lang w:bidi="en-GB"/>
            </w:rPr>
            <w:fldChar w:fldCharType="separate"/>
          </w:r>
          <w:r>
            <w:rPr>
              <w:rStyle w:val="Numrodepage"/>
              <w:lang w:bidi="en-GB"/>
            </w:rPr>
            <w:t>13</w:t>
          </w:r>
          <w:r>
            <w:rPr>
              <w:rStyle w:val="Numrodepage"/>
              <w:lang w:bidi="en-GB"/>
            </w:rPr>
            <w:fldChar w:fldCharType="end"/>
          </w:r>
        </w:p>
      </w:tc>
    </w:tr>
  </w:tbl>
  <w:p w14:paraId="1B3A6744" w14:textId="77777777" w:rsidR="000D1378" w:rsidRDefault="000D1378">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0A0096" w:themeColor="text2"/>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right w:w="28" w:type="dxa"/>
      </w:tblCellMar>
      <w:tblLook w:val="04A0" w:firstRow="1" w:lastRow="0" w:firstColumn="1" w:lastColumn="0" w:noHBand="0" w:noVBand="1"/>
    </w:tblPr>
    <w:tblGrid>
      <w:gridCol w:w="7655"/>
      <w:gridCol w:w="1701"/>
      <w:gridCol w:w="556"/>
    </w:tblGrid>
    <w:tr w:rsidR="000D1378" w14:paraId="1B9D19DA" w14:textId="77777777">
      <w:tc>
        <w:tcPr>
          <w:tcW w:w="7655" w:type="dxa"/>
        </w:tcPr>
        <w:p w14:paraId="6ED9D4B2" w14:textId="77777777" w:rsidR="000D1378" w:rsidRDefault="00211C7E">
          <w:pPr>
            <w:pStyle w:val="Pieddepage"/>
          </w:pPr>
          <w:r>
            <w:rPr>
              <w:lang w:bidi="en-GB"/>
            </w:rPr>
            <w:t>June 2025</w:t>
          </w:r>
        </w:p>
      </w:tc>
      <w:tc>
        <w:tcPr>
          <w:tcW w:w="1701" w:type="dxa"/>
        </w:tcPr>
        <w:p w14:paraId="35C19A64" w14:textId="77777777" w:rsidR="000D1378" w:rsidRDefault="000D1378">
          <w:pPr>
            <w:pStyle w:val="Pieddepage"/>
          </w:pPr>
        </w:p>
      </w:tc>
      <w:tc>
        <w:tcPr>
          <w:tcW w:w="556" w:type="dxa"/>
        </w:tcPr>
        <w:p w14:paraId="5F4CAD31" w14:textId="77777777" w:rsidR="000D1378" w:rsidRDefault="00211C7E">
          <w:pPr>
            <w:pStyle w:val="Pieddepage"/>
            <w:jc w:val="right"/>
          </w:pPr>
          <w:r>
            <w:rPr>
              <w:rStyle w:val="Numrodepage"/>
              <w:lang w:bidi="en-GB"/>
            </w:rPr>
            <w:fldChar w:fldCharType="begin"/>
          </w:r>
          <w:r>
            <w:rPr>
              <w:rStyle w:val="Numrodepage"/>
              <w:lang w:bidi="en-GB"/>
            </w:rPr>
            <w:instrText xml:space="preserve"> PAGE </w:instrText>
          </w:r>
          <w:r>
            <w:rPr>
              <w:rStyle w:val="Numrodepage"/>
              <w:lang w:bidi="en-GB"/>
            </w:rPr>
            <w:fldChar w:fldCharType="separate"/>
          </w:r>
          <w:r>
            <w:rPr>
              <w:rStyle w:val="Numrodepage"/>
              <w:noProof/>
              <w:lang w:bidi="en-GB"/>
            </w:rPr>
            <w:t>1</w:t>
          </w:r>
          <w:r>
            <w:rPr>
              <w:rStyle w:val="Numrodepage"/>
              <w:lang w:bidi="en-GB"/>
            </w:rPr>
            <w:fldChar w:fldCharType="end"/>
          </w:r>
          <w:r>
            <w:rPr>
              <w:rStyle w:val="Numrodepage"/>
              <w:lang w:bidi="en-GB"/>
            </w:rPr>
            <w:t>/</w:t>
          </w:r>
          <w:r>
            <w:rPr>
              <w:rStyle w:val="Numrodepage"/>
              <w:lang w:bidi="en-GB"/>
            </w:rPr>
            <w:fldChar w:fldCharType="begin"/>
          </w:r>
          <w:r>
            <w:rPr>
              <w:rStyle w:val="Numrodepage"/>
              <w:lang w:bidi="en-GB"/>
            </w:rPr>
            <w:instrText xml:space="preserve"> NUMPAGES   \* MERGEFORMAT </w:instrText>
          </w:r>
          <w:r>
            <w:rPr>
              <w:rStyle w:val="Numrodepage"/>
              <w:lang w:bidi="en-GB"/>
            </w:rPr>
            <w:fldChar w:fldCharType="separate"/>
          </w:r>
          <w:r>
            <w:rPr>
              <w:rStyle w:val="Numrodepage"/>
              <w:noProof/>
              <w:lang w:bidi="en-GB"/>
            </w:rPr>
            <w:t>13</w:t>
          </w:r>
          <w:r>
            <w:rPr>
              <w:rStyle w:val="Numrodepage"/>
              <w:lang w:bidi="en-GB"/>
            </w:rPr>
            <w:fldChar w:fldCharType="end"/>
          </w:r>
        </w:p>
      </w:tc>
    </w:tr>
  </w:tbl>
  <w:p w14:paraId="74F58CFE" w14:textId="77777777" w:rsidR="000D1378" w:rsidRDefault="000D137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9A74" w14:textId="77777777" w:rsidR="00796C6E" w:rsidRDefault="00796C6E">
      <w:r>
        <w:separator/>
      </w:r>
    </w:p>
  </w:footnote>
  <w:footnote w:type="continuationSeparator" w:id="0">
    <w:p w14:paraId="7CFC8146" w14:textId="77777777" w:rsidR="00796C6E" w:rsidRDefault="00796C6E">
      <w:r>
        <w:continuationSeparator/>
      </w:r>
    </w:p>
  </w:footnote>
  <w:footnote w:id="1">
    <w:p w14:paraId="643DE859" w14:textId="77777777" w:rsidR="000D1378" w:rsidRDefault="00211C7E">
      <w:pPr>
        <w:pStyle w:val="Notedebasdepage"/>
      </w:pPr>
      <w:r>
        <w:rPr>
          <w:rStyle w:val="Appelnotedebasdep"/>
          <w:lang w:bidi="en-GB"/>
        </w:rPr>
        <w:footnoteRef/>
      </w:r>
      <w:r>
        <w:rPr>
          <w:lang w:bidi="en-GB"/>
        </w:rPr>
        <w:t xml:space="preserve">The official name as it appears in </w:t>
      </w:r>
      <w:hyperlink r:id="rId1" w:history="1">
        <w:r>
          <w:rPr>
            <w:rStyle w:val="Lienhypertexte"/>
            <w:lang w:bidi="en-GB"/>
          </w:rPr>
          <w:t>the company directory</w:t>
        </w:r>
      </w:hyperlink>
      <w:r>
        <w:rPr>
          <w:lang w:bidi="en-GB"/>
        </w:rPr>
        <w:t>.</w:t>
      </w:r>
    </w:p>
  </w:footnote>
  <w:footnote w:id="2">
    <w:p w14:paraId="36078476" w14:textId="77777777" w:rsidR="000D1378" w:rsidRDefault="00211C7E">
      <w:pPr>
        <w:pStyle w:val="Notedebasdepage"/>
      </w:pPr>
      <w:r>
        <w:rPr>
          <w:rStyle w:val="Appelnotedebasdep"/>
          <w:lang w:bidi="en-GB"/>
        </w:rPr>
        <w:footnoteRef/>
      </w:r>
      <w:r>
        <w:rPr>
          <w:lang w:bidi="en-GB"/>
        </w:rPr>
        <w:t xml:space="preserve"> Information about the means and measures implemented to protect ionising radiation sources or batches of radioactive sources against malicious acts. See Article 2 of the amended Order of 29 November 2019.</w:t>
      </w:r>
    </w:p>
  </w:footnote>
  <w:footnote w:id="3">
    <w:p w14:paraId="59716C72" w14:textId="77777777" w:rsidR="000D1378" w:rsidRDefault="00211C7E">
      <w:pPr>
        <w:pStyle w:val="Notedebasdepage"/>
      </w:pPr>
      <w:r>
        <w:rPr>
          <w:rStyle w:val="Appelnotedebasdep"/>
          <w:lang w:bidi="en-GB"/>
        </w:rPr>
        <w:footnoteRef/>
      </w:r>
      <w:r>
        <w:rPr>
          <w:lang w:bidi="en-GB"/>
        </w:rPr>
        <w:t xml:space="preserve"> Any change in the representative of the legal entity does not require a request to be submitted for amendment of an authorisation (the ASNR should simply be notified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3963" w14:textId="77777777" w:rsidR="000D1378" w:rsidRDefault="00211C7E">
    <w:pPr>
      <w:pStyle w:val="En-tte"/>
      <w:jc w:val="right"/>
      <w:rPr>
        <w:b/>
      </w:rPr>
    </w:pPr>
    <w:r>
      <w:rPr>
        <w:noProof/>
        <w:sz w:val="22"/>
        <w:szCs w:val="22"/>
        <w:lang w:bidi="en-GB"/>
      </w:rPr>
      <w:drawing>
        <wp:anchor distT="0" distB="0" distL="114300" distR="114300" simplePos="0" relativeHeight="251669504" behindDoc="1" locked="1" layoutInCell="1" allowOverlap="1" wp14:anchorId="22DCC27F" wp14:editId="0A1E4CD8">
          <wp:simplePos x="0" y="0"/>
          <wp:positionH relativeFrom="page">
            <wp:posOffset>360045</wp:posOffset>
          </wp:positionH>
          <wp:positionV relativeFrom="page">
            <wp:posOffset>28575</wp:posOffset>
          </wp:positionV>
          <wp:extent cx="1260000" cy="831600"/>
          <wp:effectExtent l="0" t="0" r="0" b="0"/>
          <wp:wrapNone/>
          <wp:docPr id="142826270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rotWithShape="1">
                  <a:blip r:embed="rId1">
                    <a:extLst>
                      <a:ext uri="{28A0092B-C50C-407E-A947-70E740481C1C}">
                        <a14:useLocalDpi xmlns:a14="http://schemas.microsoft.com/office/drawing/2010/main" val="0"/>
                      </a:ext>
                    </a:extLst>
                  </a:blip>
                  <a:srcRect r="38462"/>
                  <a:stretch/>
                </pic:blipFill>
                <pic:spPr bwMode="auto">
                  <a:xfrm>
                    <a:off x="0" y="0"/>
                    <a:ext cx="1260000" cy="83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lang w:bidi="en-GB"/>
      </w:rPr>
      <w:t>AUTO/MALV/TRANS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56C3" w14:textId="77777777" w:rsidR="000D1378" w:rsidRDefault="00211C7E">
    <w:pPr>
      <w:pStyle w:val="En-tte"/>
      <w:spacing w:before="600" w:after="1200"/>
      <w:jc w:val="right"/>
      <w:rPr>
        <w:b/>
        <w:sz w:val="22"/>
        <w:szCs w:val="22"/>
      </w:rPr>
    </w:pPr>
    <w:r>
      <w:rPr>
        <w:noProof/>
        <w:lang w:bidi="en-GB"/>
      </w:rPr>
      <w:drawing>
        <wp:anchor distT="0" distB="0" distL="114300" distR="114300" simplePos="0" relativeHeight="251664383" behindDoc="1" locked="1" layoutInCell="1" allowOverlap="1" wp14:anchorId="4776B19E" wp14:editId="2F88C840">
          <wp:simplePos x="0" y="0"/>
          <wp:positionH relativeFrom="page">
            <wp:posOffset>-914400</wp:posOffset>
          </wp:positionH>
          <wp:positionV relativeFrom="page">
            <wp:posOffset>1781175</wp:posOffset>
          </wp:positionV>
          <wp:extent cx="3167380" cy="3248025"/>
          <wp:effectExtent l="0" t="0" r="0" b="0"/>
          <wp:wrapNone/>
          <wp:docPr id="714823479" name="Multilos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33383" name="Multilosange"/>
                  <pic:cNvPicPr/>
                </pic:nvPicPr>
                <pic:blipFill>
                  <a:blip r:embed="rId1">
                    <a:extLst>
                      <a:ext uri="{96DAC541-7B7A-43D3-8B79-37D633B846F1}">
                        <asvg:svgBlip xmlns:asvg="http://schemas.microsoft.com/office/drawing/2016/SVG/main" r:embed="rId2"/>
                      </a:ext>
                    </a:extLst>
                  </a:blip>
                  <a:stretch>
                    <a:fillRect/>
                  </a:stretch>
                </pic:blipFill>
                <pic:spPr>
                  <a:xfrm>
                    <a:off x="0" y="0"/>
                    <a:ext cx="3167380" cy="324802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bidi="en-GB"/>
      </w:rPr>
      <w:drawing>
        <wp:anchor distT="0" distB="0" distL="114300" distR="114300" simplePos="0" relativeHeight="251666432" behindDoc="1" locked="1" layoutInCell="1" allowOverlap="1" wp14:anchorId="2D770E87" wp14:editId="4B750B43">
          <wp:simplePos x="0" y="0"/>
          <wp:positionH relativeFrom="page">
            <wp:posOffset>247650</wp:posOffset>
          </wp:positionH>
          <wp:positionV relativeFrom="page">
            <wp:posOffset>104775</wp:posOffset>
          </wp:positionV>
          <wp:extent cx="3744000" cy="1522800"/>
          <wp:effectExtent l="0" t="0" r="0" b="0"/>
          <wp:wrapNone/>
          <wp:docPr id="15158407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16804" name="Logo"/>
                  <pic:cNvPicPr/>
                </pic:nvPicPr>
                <pic:blipFill>
                  <a:blip r:embed="rId3">
                    <a:extLst>
                      <a:ext uri="{28A0092B-C50C-407E-A947-70E740481C1C}">
                        <a14:useLocalDpi xmlns:a14="http://schemas.microsoft.com/office/drawing/2010/main" val="0"/>
                      </a:ext>
                    </a:extLst>
                  </a:blip>
                  <a:stretch>
                    <a:fillRect/>
                  </a:stretch>
                </pic:blipFill>
                <pic:spPr>
                  <a:xfrm>
                    <a:off x="0" y="0"/>
                    <a:ext cx="3744000" cy="1522800"/>
                  </a:xfrm>
                  <a:prstGeom prst="rect">
                    <a:avLst/>
                  </a:prstGeom>
                </pic:spPr>
              </pic:pic>
            </a:graphicData>
          </a:graphic>
          <wp14:sizeRelH relativeFrom="page">
            <wp14:pctWidth>0</wp14:pctWidth>
          </wp14:sizeRelH>
          <wp14:sizeRelV relativeFrom="page">
            <wp14:pctHeight>0</wp14:pctHeight>
          </wp14:sizeRelV>
        </wp:anchor>
      </w:drawing>
    </w:r>
    <w:r>
      <w:rPr>
        <w:b/>
        <w:sz w:val="22"/>
        <w:szCs w:val="22"/>
        <w:lang w:bidi="en-GB"/>
      </w:rPr>
      <w:t>AUTO/MALV/TRANS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1CF5"/>
    <w:multiLevelType w:val="multilevel"/>
    <w:tmpl w:val="85D83D12"/>
    <w:lvl w:ilvl="0">
      <w:start w:val="2"/>
      <w:numFmt w:val="decimal"/>
      <w:lvlText w:val="%1°"/>
      <w:lvlJc w:val="left"/>
      <w:pPr>
        <w:ind w:left="1211"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40FF2B63"/>
    <w:multiLevelType w:val="hybridMultilevel"/>
    <w:tmpl w:val="5448A9FE"/>
    <w:lvl w:ilvl="0" w:tplc="53E03098">
      <w:start w:val="1"/>
      <w:numFmt w:val="bullet"/>
      <w:pStyle w:val="ASNR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E1B0B958">
      <w:start w:val="1"/>
      <w:numFmt w:val="bullet"/>
      <w:pStyle w:val="ASNRPuceenretrait1"/>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E43C0"/>
    <w:multiLevelType w:val="hybridMultilevel"/>
    <w:tmpl w:val="31A627C8"/>
    <w:lvl w:ilvl="0" w:tplc="A7029E22">
      <w:start w:val="1"/>
      <w:numFmt w:val="bullet"/>
      <w:pStyle w:val="ASNRSereporter"/>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0"/>
  <w:defaultTabStop w:val="73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78"/>
    <w:rsid w:val="0006176C"/>
    <w:rsid w:val="000D1378"/>
    <w:rsid w:val="00173475"/>
    <w:rsid w:val="00211C7E"/>
    <w:rsid w:val="004E1A61"/>
    <w:rsid w:val="006E0C26"/>
    <w:rsid w:val="00796C6E"/>
    <w:rsid w:val="00EB45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11723"/>
  <w15:chartTrackingRefBased/>
  <w15:docId w15:val="{0B408B85-AC55-4B91-9B7D-EC86663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A0096" w:themeColor="text2"/>
        <w:sz w:val="18"/>
        <w:szCs w:val="18"/>
        <w:lang w:val="en-GB" w:eastAsia="fr-FR" w:bidi="ar-SA"/>
      </w:rPr>
    </w:rPrDefault>
    <w:pPrDefault/>
  </w:docDefaults>
  <w:latentStyles w:defLockedState="0" w:defUIPriority="1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uiPriority="0" w:qFormat="1"/>
    <w:lsdException w:name="heading 5" w:semiHidden="1" w:unhideWhenUsed="1" w:qFormat="1"/>
    <w:lsdException w:name="heading 6" w:semiHidden="1" w:unhideWhenUsed="1" w:qFormat="1"/>
    <w:lsdException w:name="heading 7" w:uiPriority="0" w:qFormat="1"/>
    <w:lsdException w:name="heading 8" w:semiHidden="1" w:unhideWhenUsed="1"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uiPriority="0"/>
    <w:lsdException w:name="Strong" w:semiHidden="1" w:qFormat="1"/>
    <w:lsdException w:name="Emphasis" w:semiHidden="1" w:uiPriority="18"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Titre4">
    <w:name w:val="heading 4"/>
    <w:basedOn w:val="Normal"/>
    <w:next w:val="Normal"/>
    <w:uiPriority w:val="19"/>
    <w:semiHidden/>
    <w:qFormat/>
    <w:pPr>
      <w:keepNext/>
      <w:spacing w:before="240" w:after="60"/>
      <w:outlineLvl w:val="3"/>
    </w:pPr>
    <w:rPr>
      <w:rFonts w:ascii="Times New Roman" w:hAnsi="Times New Roman"/>
      <w:b/>
      <w:bCs/>
      <w:sz w:val="28"/>
      <w:szCs w:val="28"/>
    </w:rPr>
  </w:style>
  <w:style w:type="paragraph" w:styleId="Titre7">
    <w:name w:val="heading 7"/>
    <w:basedOn w:val="Normal"/>
    <w:next w:val="Normal"/>
    <w:uiPriority w:val="19"/>
    <w:semiHidden/>
    <w:qFormat/>
    <w:pPr>
      <w:spacing w:before="240" w:after="60"/>
      <w:outlineLvl w:val="6"/>
    </w:pPr>
    <w:rPr>
      <w:rFonts w:ascii="Times New Roman" w:hAnsi="Times New Roman"/>
      <w:sz w:val="24"/>
    </w:rPr>
  </w:style>
  <w:style w:type="paragraph" w:styleId="Titre9">
    <w:name w:val="heading 9"/>
    <w:basedOn w:val="Normal"/>
    <w:next w:val="Normal"/>
    <w:uiPriority w:val="19"/>
    <w:semiHidden/>
    <w:qFormat/>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19"/>
    <w:semiHidden/>
    <w:pPr>
      <w:jc w:val="left"/>
    </w:pPr>
  </w:style>
  <w:style w:type="paragraph" w:styleId="Pieddepage">
    <w:name w:val="footer"/>
    <w:basedOn w:val="Normal"/>
    <w:link w:val="PieddepageCar"/>
    <w:uiPriority w:val="19"/>
    <w:semiHidden/>
    <w:pPr>
      <w:jc w:val="left"/>
    </w:pPr>
    <w:rPr>
      <w:sz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style>
  <w:style w:type="paragraph" w:customStyle="1" w:styleId="ASNRTITRE1">
    <w:name w:val="ASNR_TITRE 1"/>
    <w:basedOn w:val="Normal"/>
    <w:next w:val="Normal"/>
    <w:uiPriority w:val="2"/>
    <w:qFormat/>
    <w:pPr>
      <w:keepNext/>
      <w:spacing w:before="600" w:after="120"/>
      <w:jc w:val="left"/>
      <w:outlineLvl w:val="0"/>
    </w:pPr>
    <w:rPr>
      <w:b/>
      <w:caps/>
      <w:sz w:val="28"/>
    </w:rPr>
  </w:style>
  <w:style w:type="paragraph" w:customStyle="1" w:styleId="ASNRPourcasecocher1">
    <w:name w:val="ASNR_Pour case à cocher 1"/>
    <w:basedOn w:val="Normal"/>
    <w:next w:val="Normal"/>
    <w:link w:val="ASNRPourcasecocher1Car"/>
    <w:uiPriority w:val="6"/>
    <w:qFormat/>
    <w:pPr>
      <w:tabs>
        <w:tab w:val="left" w:pos="284"/>
      </w:tabs>
      <w:spacing w:before="60"/>
      <w:ind w:left="851" w:hanging="851"/>
    </w:pPr>
    <w:rPr>
      <w:rFonts w:cs="Futura LtCn BT"/>
    </w:rPr>
  </w:style>
  <w:style w:type="paragraph" w:customStyle="1" w:styleId="ASNRTitre3">
    <w:name w:val="ASNR_Titre 3"/>
    <w:basedOn w:val="Normal"/>
    <w:next w:val="Normal"/>
    <w:uiPriority w:val="4"/>
    <w:qFormat/>
    <w:pPr>
      <w:keepNext/>
      <w:spacing w:before="60" w:after="120"/>
      <w:jc w:val="left"/>
      <w:outlineLvl w:val="2"/>
    </w:pPr>
    <w:rPr>
      <w:b/>
      <w:bCs/>
      <w:color w:val="FF735F" w:themeColor="accent4"/>
      <w:sz w:val="22"/>
      <w:szCs w:val="22"/>
    </w:rPr>
  </w:style>
  <w:style w:type="paragraph" w:customStyle="1" w:styleId="ASNRPuce">
    <w:name w:val="ASNR_Puce"/>
    <w:basedOn w:val="Normal"/>
    <w:uiPriority w:val="5"/>
    <w:qFormat/>
    <w:pPr>
      <w:numPr>
        <w:numId w:val="1"/>
      </w:numPr>
      <w:tabs>
        <w:tab w:val="clear" w:pos="720"/>
        <w:tab w:val="left" w:pos="170"/>
      </w:tabs>
      <w:ind w:left="170" w:hanging="170"/>
    </w:pPr>
  </w:style>
  <w:style w:type="paragraph" w:customStyle="1" w:styleId="ASNRTITRE0SUITE">
    <w:name w:val="ASNR_TITRE 0 (SUITE)"/>
    <w:basedOn w:val="Normal"/>
    <w:uiPriority w:val="1"/>
    <w:qFormat/>
    <w:pPr>
      <w:jc w:val="left"/>
    </w:pPr>
    <w:rPr>
      <w:b/>
      <w:caps/>
      <w:sz w:val="32"/>
      <w:szCs w:val="36"/>
    </w:rPr>
  </w:style>
  <w:style w:type="paragraph" w:customStyle="1" w:styleId="ASNRTitre4">
    <w:name w:val="ASNR_Titre 4"/>
    <w:basedOn w:val="Normal"/>
    <w:next w:val="Normal"/>
    <w:uiPriority w:val="4"/>
    <w:qFormat/>
    <w:pPr>
      <w:keepNext/>
      <w:spacing w:before="240" w:after="120"/>
      <w:jc w:val="left"/>
    </w:pPr>
    <w:rPr>
      <w:b/>
      <w:bCs/>
      <w:sz w:val="22"/>
    </w:rPr>
  </w:style>
  <w:style w:type="paragraph" w:styleId="Notedebasdepage">
    <w:name w:val="footnote text"/>
    <w:basedOn w:val="Normal"/>
    <w:link w:val="NotedebasdepageCar"/>
    <w:uiPriority w:val="9"/>
    <w:pPr>
      <w:tabs>
        <w:tab w:val="left" w:pos="113"/>
      </w:tabs>
      <w:spacing w:before="40"/>
      <w:ind w:left="113" w:hanging="113"/>
    </w:pPr>
    <w:rPr>
      <w:sz w:val="14"/>
      <w:szCs w:val="20"/>
    </w:rPr>
  </w:style>
  <w:style w:type="character" w:styleId="Appelnotedebasdep">
    <w:name w:val="footnote reference"/>
    <w:uiPriority w:val="99"/>
    <w:semiHidden/>
    <w:rPr>
      <w:color w:val="0A0096" w:themeColor="text2"/>
      <w:vertAlign w:val="superscript"/>
    </w:rPr>
  </w:style>
  <w:style w:type="paragraph" w:customStyle="1" w:styleId="ASNRIntroduction">
    <w:name w:val="ASNR_Introduction"/>
    <w:basedOn w:val="Normal"/>
    <w:uiPriority w:val="2"/>
    <w:qFormat/>
    <w:rPr>
      <w:i/>
      <w:iCs/>
      <w:sz w:val="20"/>
      <w:szCs w:val="20"/>
    </w:rPr>
  </w:style>
  <w:style w:type="paragraph" w:customStyle="1" w:styleId="ASNRPourcasecocher3">
    <w:name w:val="ASNR_Pour case à cocher 3"/>
    <w:basedOn w:val="ASNRPourcasecocher1"/>
    <w:uiPriority w:val="6"/>
    <w:qFormat/>
    <w:pPr>
      <w:tabs>
        <w:tab w:val="clear" w:pos="284"/>
      </w:tabs>
      <w:ind w:left="1134" w:hanging="284"/>
    </w:pPr>
  </w:style>
  <w:style w:type="character" w:styleId="Lienhypertexte">
    <w:name w:val="Hyperlink"/>
    <w:uiPriority w:val="19"/>
    <w:semiHidden/>
    <w:rPr>
      <w:b/>
      <w:color w:val="0A0096" w:themeColor="text2"/>
      <w:u w:val="none"/>
    </w:rPr>
  </w:style>
  <w:style w:type="character" w:customStyle="1" w:styleId="ASNRPourcasecocher1Car">
    <w:name w:val="ASNR_Pour case à cocher 1 Car"/>
    <w:link w:val="ASNRPourcasecocher1"/>
    <w:uiPriority w:val="6"/>
    <w:rPr>
      <w:rFonts w:cs="Futura LtCn BT"/>
    </w:rPr>
  </w:style>
  <w:style w:type="paragraph" w:styleId="Textedebulles">
    <w:name w:val="Balloon Text"/>
    <w:basedOn w:val="Normal"/>
    <w:semiHidden/>
    <w:rPr>
      <w:rFonts w:ascii="Tahoma" w:hAnsi="Tahoma" w:cs="Tahoma"/>
      <w:sz w:val="16"/>
      <w:szCs w:val="16"/>
    </w:rPr>
  </w:style>
  <w:style w:type="paragraph" w:customStyle="1" w:styleId="ASNRExergue2">
    <w:name w:val="ASNR_Exergue 2"/>
    <w:basedOn w:val="Normal"/>
    <w:uiPriority w:val="5"/>
    <w:qFormat/>
    <w:rPr>
      <w:i/>
    </w:rPr>
  </w:style>
  <w:style w:type="paragraph" w:customStyle="1" w:styleId="ASNRPuceenretrait2">
    <w:name w:val="ASNR_Puce en retrait 2"/>
    <w:basedOn w:val="ASNRPuceenretrait1"/>
    <w:uiPriority w:val="5"/>
    <w:qFormat/>
    <w:pPr>
      <w:ind w:left="1020"/>
    </w:pPr>
  </w:style>
  <w:style w:type="paragraph" w:customStyle="1" w:styleId="ASNRSereporter">
    <w:name w:val="ASNR_Se reporter"/>
    <w:basedOn w:val="Normal"/>
    <w:next w:val="Normal"/>
    <w:uiPriority w:val="5"/>
    <w:qFormat/>
    <w:pPr>
      <w:numPr>
        <w:numId w:val="2"/>
      </w:numPr>
      <w:spacing w:before="60"/>
      <w:contextualSpacing/>
    </w:pPr>
    <w:rPr>
      <w:i/>
      <w:iCs/>
    </w:rPr>
  </w:style>
  <w:style w:type="paragraph" w:customStyle="1" w:styleId="ASNRPuceenretrait1">
    <w:name w:val="ASNR_Puce en retrait 1"/>
    <w:basedOn w:val="Normal"/>
    <w:uiPriority w:val="5"/>
    <w:qFormat/>
    <w:pPr>
      <w:numPr>
        <w:ilvl w:val="3"/>
        <w:numId w:val="1"/>
      </w:numPr>
      <w:tabs>
        <w:tab w:val="clear" w:pos="2880"/>
      </w:tabs>
      <w:ind w:left="454" w:hanging="170"/>
    </w:pPr>
  </w:style>
  <w:style w:type="character" w:customStyle="1" w:styleId="NotedebasdepageCar">
    <w:name w:val="Note de bas de page Car"/>
    <w:link w:val="Notedebasdepage"/>
    <w:uiPriority w:val="9"/>
    <w:rPr>
      <w:sz w:val="14"/>
      <w:szCs w:val="20"/>
    </w:rPr>
  </w:style>
  <w:style w:type="character" w:customStyle="1" w:styleId="En-tteCar">
    <w:name w:val="En-tête Car"/>
    <w:link w:val="En-tte"/>
    <w:uiPriority w:val="19"/>
    <w:semiHidden/>
    <w:rPr>
      <w:rFonts w:asciiTheme="minorHAnsi" w:hAnsiTheme="minorHAnsi"/>
      <w:color w:val="0A0096" w:themeColor="text2"/>
      <w:sz w:val="18"/>
      <w:szCs w:val="24"/>
    </w:rPr>
  </w:style>
  <w:style w:type="character" w:styleId="Textedelespacerserv">
    <w:name w:val="Placeholder Text"/>
    <w:basedOn w:val="Policepardfaut"/>
    <w:uiPriority w:val="99"/>
    <w:semiHidden/>
    <w:rPr>
      <w:color w:val="808080"/>
    </w:rPr>
  </w:style>
  <w:style w:type="character" w:customStyle="1" w:styleId="PieddepageCar">
    <w:name w:val="Pied de page Car"/>
    <w:basedOn w:val="Policepardfaut"/>
    <w:link w:val="Pieddepage"/>
    <w:uiPriority w:val="19"/>
    <w:semiHidden/>
    <w:rPr>
      <w:rFonts w:asciiTheme="minorHAnsi" w:hAnsiTheme="minorHAnsi"/>
      <w:color w:val="0A0096" w:themeColor="text2"/>
      <w:sz w:val="16"/>
      <w:szCs w:val="24"/>
    </w:rPr>
  </w:style>
  <w:style w:type="paragraph" w:styleId="Rvision">
    <w:name w:val="Revision"/>
    <w:hidden/>
    <w:uiPriority w:val="99"/>
    <w:semiHidden/>
    <w:rPr>
      <w:rFonts w:ascii="Arial Narrow" w:hAnsi="Arial Narrow"/>
    </w:rPr>
  </w:style>
  <w:style w:type="paragraph" w:customStyle="1" w:styleId="ASNRExergue1">
    <w:name w:val="ASNR_Exergue 1"/>
    <w:basedOn w:val="Normal"/>
    <w:next w:val="Normal"/>
    <w:link w:val="ASNRExergue1Car"/>
    <w:uiPriority w:val="5"/>
    <w:qFormat/>
    <w:rPr>
      <w:b/>
      <w:bCs/>
      <w:iCs/>
    </w:rPr>
  </w:style>
  <w:style w:type="paragraph" w:customStyle="1" w:styleId="ASNRTITRE0">
    <w:name w:val="ASNR_TITRE 0"/>
    <w:basedOn w:val="Normal"/>
    <w:next w:val="ASNRTITRE0SUITE"/>
    <w:uiPriority w:val="1"/>
    <w:qFormat/>
    <w:pPr>
      <w:jc w:val="left"/>
    </w:pPr>
    <w:rPr>
      <w:rFonts w:ascii="Arial Black" w:hAnsi="Arial Black"/>
      <w:b/>
      <w:caps/>
      <w:color w:val="FF735F" w:themeColor="accent4"/>
      <w:sz w:val="32"/>
    </w:rPr>
  </w:style>
  <w:style w:type="paragraph" w:customStyle="1" w:styleId="ASNRFilet">
    <w:name w:val="ASNR_Filet"/>
    <w:basedOn w:val="Normal"/>
    <w:next w:val="ASNRTitre3"/>
    <w:uiPriority w:val="3"/>
    <w:qFormat/>
    <w:pPr>
      <w:keepNext/>
      <w:pBdr>
        <w:bottom w:val="single" w:sz="4" w:space="1" w:color="FF735F" w:themeColor="accent4"/>
      </w:pBdr>
      <w:spacing w:before="240"/>
      <w:ind w:right="9072"/>
    </w:pPr>
    <w:rPr>
      <w:sz w:val="12"/>
      <w:szCs w:val="12"/>
    </w:rPr>
  </w:style>
  <w:style w:type="character" w:customStyle="1" w:styleId="ASNRExergue1Car">
    <w:name w:val="ASNR_Exergue 1 Car"/>
    <w:basedOn w:val="Policepardfaut"/>
    <w:link w:val="ASNRExergue1"/>
    <w:uiPriority w:val="5"/>
    <w:rPr>
      <w:b/>
      <w:bCs/>
      <w:iCs/>
    </w:rPr>
  </w:style>
  <w:style w:type="paragraph" w:customStyle="1" w:styleId="ASNRNote">
    <w:name w:val="ASNR_Note"/>
    <w:basedOn w:val="Normal"/>
    <w:next w:val="Normal"/>
    <w:uiPriority w:val="5"/>
    <w:qFormat/>
    <w:pPr>
      <w:tabs>
        <w:tab w:val="left" w:pos="6720"/>
      </w:tabs>
      <w:spacing w:before="60" w:after="240"/>
    </w:pPr>
    <w:rPr>
      <w:i/>
      <w:sz w:val="14"/>
      <w:szCs w:val="14"/>
    </w:rPr>
  </w:style>
  <w:style w:type="paragraph" w:customStyle="1" w:styleId="ASNRTitre2">
    <w:name w:val="ASNR_Titre 2"/>
    <w:basedOn w:val="Normal"/>
    <w:next w:val="Normal"/>
    <w:uiPriority w:val="2"/>
    <w:qFormat/>
    <w:pPr>
      <w:keepNext/>
      <w:spacing w:before="300" w:after="120"/>
      <w:jc w:val="left"/>
      <w:outlineLvl w:val="1"/>
    </w:pPr>
    <w:rPr>
      <w:b/>
      <w:bCs/>
      <w:sz w:val="28"/>
      <w:szCs w:val="28"/>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ASNRPourcasecocher2">
    <w:name w:val="ASNR_Pour case à cocher 2"/>
    <w:basedOn w:val="ASNRPourcasecocher3"/>
    <w:uiPriority w:val="6"/>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133">
      <w:bodyDiv w:val="1"/>
      <w:marLeft w:val="0"/>
      <w:marRight w:val="0"/>
      <w:marTop w:val="0"/>
      <w:marBottom w:val="0"/>
      <w:divBdr>
        <w:top w:val="none" w:sz="0" w:space="0" w:color="auto"/>
        <w:left w:val="none" w:sz="0" w:space="0" w:color="auto"/>
        <w:bottom w:val="none" w:sz="0" w:space="0" w:color="auto"/>
        <w:right w:val="none" w:sz="0" w:space="0" w:color="auto"/>
      </w:divBdr>
    </w:div>
    <w:div w:id="100894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nr.fr/la-reglemen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article_lc/LEGIARTI0000509327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n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france.gouv.fr/jorf/id/JORFTEXT00003947252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yber.gouv.fr/decouvrir-les-solutions-qualifie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nuaire-entreprises.data.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SNR_Couleurs">
      <a:dk1>
        <a:sysClr val="windowText" lastClr="000000"/>
      </a:dk1>
      <a:lt1>
        <a:sysClr val="window" lastClr="FFFFFF"/>
      </a:lt1>
      <a:dk2>
        <a:srgbClr val="0A0096"/>
      </a:dk2>
      <a:lt2>
        <a:srgbClr val="EAF7FD"/>
      </a:lt2>
      <a:accent1>
        <a:srgbClr val="0A0096"/>
      </a:accent1>
      <a:accent2>
        <a:srgbClr val="0082FF"/>
      </a:accent2>
      <a:accent3>
        <a:srgbClr val="AFE1FA"/>
      </a:accent3>
      <a:accent4>
        <a:srgbClr val="FF735F"/>
      </a:accent4>
      <a:accent5>
        <a:srgbClr val="FFAF96"/>
      </a:accent5>
      <a:accent6>
        <a:srgbClr val="FFDEB7"/>
      </a:accent6>
      <a:hlink>
        <a:srgbClr val="0A0096"/>
      </a:hlink>
      <a:folHlink>
        <a:srgbClr val="0A00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4024-2057-4121-8266-C029F6D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2063</Words>
  <Characters>10733</Characters>
  <Application>Microsoft Office Word</Application>
  <DocSecurity>0</DocSecurity>
  <Lines>202</Lines>
  <Paragraphs>99</Paragraphs>
  <ScaleCrop>false</ScaleCrop>
  <HeadingPairs>
    <vt:vector size="2" baseType="variant">
      <vt:variant>
        <vt:lpstr>Titre</vt:lpstr>
      </vt:variant>
      <vt:variant>
        <vt:i4>1</vt:i4>
      </vt:variant>
    </vt:vector>
  </HeadingPairs>
  <TitlesOfParts>
    <vt:vector size="1" baseType="lpstr">
      <vt:lpstr>Formulaire</vt:lpstr>
    </vt:vector>
  </TitlesOfParts>
  <Company>ASNR</Company>
  <LinksUpToDate>false</LinksUpToDate>
  <CharactersWithSpaces>12697</CharactersWithSpaces>
  <SharedDoc>false</SharedDoc>
  <HLinks>
    <vt:vector size="12" baseType="variant">
      <vt:variant>
        <vt:i4>7143551</vt:i4>
      </vt:variant>
      <vt:variant>
        <vt:i4>1117</vt:i4>
      </vt:variant>
      <vt:variant>
        <vt:i4>0</vt:i4>
      </vt:variant>
      <vt:variant>
        <vt:i4>5</vt:i4>
      </vt:variant>
      <vt:variant>
        <vt:lpwstr>http://www.asn.fr/</vt:lpwstr>
      </vt:variant>
      <vt:variant>
        <vt:lpwstr/>
      </vt:variant>
      <vt:variant>
        <vt:i4>7143551</vt:i4>
      </vt:variant>
      <vt:variant>
        <vt:i4>973</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ASNR</dc:creator>
  <cp:keywords/>
  <cp:lastModifiedBy>LOMBARD Xavier</cp:lastModifiedBy>
  <cp:revision>2</cp:revision>
  <cp:lastPrinted>2025-04-17T03:08:00Z</cp:lastPrinted>
  <dcterms:created xsi:type="dcterms:W3CDTF">2025-08-22T12:29:00Z</dcterms:created>
  <dcterms:modified xsi:type="dcterms:W3CDTF">2025-08-22T12:29:00Z</dcterms:modified>
</cp:coreProperties>
</file>